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ADFA1" w14:textId="17738A81" w:rsidR="00BC4D19" w:rsidRPr="00910C55" w:rsidRDefault="0050655E" w:rsidP="00910C55">
      <w:pPr>
        <w:pStyle w:val="E-JournalTitle"/>
        <w:ind w:firstLine="0"/>
        <w:jc w:val="right"/>
        <w:rPr>
          <w:sz w:val="24"/>
          <w:szCs w:val="24"/>
        </w:rPr>
      </w:pPr>
      <w:r>
        <w:rPr>
          <w:sz w:val="24"/>
          <w:szCs w:val="24"/>
        </w:rPr>
        <w:t>EVALUATING THE IMPACT OF AI – POWERED TUTORS</w:t>
      </w:r>
      <w:r w:rsidR="00910C55">
        <w:rPr>
          <w:sz w:val="24"/>
          <w:szCs w:val="24"/>
        </w:rPr>
        <w:t xml:space="preserve"> </w:t>
      </w:r>
      <w:r>
        <w:rPr>
          <w:sz w:val="24"/>
          <w:szCs w:val="24"/>
        </w:rPr>
        <w:t>MATHGPT AND FLEXI 2.0 IN ENHANCING CALCULUS LEARNING</w:t>
      </w:r>
    </w:p>
    <w:p w14:paraId="1FFB109C" w14:textId="77777777" w:rsidR="006A32B3" w:rsidRDefault="006A32B3" w:rsidP="006A32B3">
      <w:pPr>
        <w:pStyle w:val="E-JournalTitle"/>
        <w:ind w:firstLine="0"/>
        <w:jc w:val="left"/>
        <w:rPr>
          <w:b w:val="0"/>
          <w:bCs/>
        </w:rPr>
      </w:pPr>
    </w:p>
    <w:p w14:paraId="70CE1DA1" w14:textId="6D98F4FA" w:rsidR="006A32B3" w:rsidRPr="006A32B3" w:rsidRDefault="006A32B3" w:rsidP="006A32B3">
      <w:pPr>
        <w:pStyle w:val="E-JournalTitle"/>
        <w:ind w:firstLine="0"/>
        <w:jc w:val="left"/>
        <w:rPr>
          <w:b w:val="0"/>
          <w:bCs/>
        </w:rPr>
      </w:pPr>
      <w:r w:rsidRPr="006A32B3">
        <w:rPr>
          <w:b w:val="0"/>
          <w:bCs/>
        </w:rPr>
        <w:t>Joel I. Alvarez</w:t>
      </w:r>
      <w:r w:rsidRPr="006A32B3">
        <w:rPr>
          <w:b w:val="0"/>
          <w:bCs/>
          <w:vertAlign w:val="superscript"/>
        </w:rPr>
        <w:t>1</w:t>
      </w:r>
    </w:p>
    <w:p w14:paraId="2E53A4BF" w14:textId="77777777" w:rsidR="006A32B3" w:rsidRPr="006A32B3" w:rsidRDefault="006A32B3" w:rsidP="006A32B3">
      <w:pPr>
        <w:pStyle w:val="E-JournalTitle"/>
        <w:ind w:firstLine="0"/>
        <w:jc w:val="left"/>
        <w:rPr>
          <w:b w:val="0"/>
          <w:bCs/>
        </w:rPr>
      </w:pPr>
      <w:r w:rsidRPr="006A32B3">
        <w:rPr>
          <w:b w:val="0"/>
          <w:bCs/>
          <w:vertAlign w:val="superscript"/>
        </w:rPr>
        <w:t xml:space="preserve">1 </w:t>
      </w:r>
      <w:r w:rsidRPr="006A32B3">
        <w:rPr>
          <w:b w:val="0"/>
          <w:bCs/>
        </w:rPr>
        <w:t>Assistant Professor I, College of Education, Nueva Ecija University of Science and Technology,</w:t>
      </w:r>
    </w:p>
    <w:p w14:paraId="59E40595" w14:textId="77777777" w:rsidR="006A32B3" w:rsidRPr="006A32B3" w:rsidRDefault="006A32B3" w:rsidP="006A32B3">
      <w:pPr>
        <w:pStyle w:val="E-JournalTitle"/>
        <w:ind w:firstLine="0"/>
        <w:jc w:val="left"/>
        <w:rPr>
          <w:b w:val="0"/>
          <w:bCs/>
        </w:rPr>
      </w:pPr>
      <w:r w:rsidRPr="006A32B3">
        <w:rPr>
          <w:b w:val="0"/>
          <w:bCs/>
        </w:rPr>
        <w:t>Cabanatuan City, Nueva Ecija, Philippines</w:t>
      </w:r>
    </w:p>
    <w:p w14:paraId="1BB708F0" w14:textId="77777777" w:rsidR="006A32B3" w:rsidRPr="006A32B3" w:rsidRDefault="006A32B3" w:rsidP="006A32B3">
      <w:pPr>
        <w:pStyle w:val="E-JournalTitle"/>
        <w:ind w:firstLine="0"/>
        <w:jc w:val="left"/>
        <w:rPr>
          <w:b w:val="0"/>
          <w:bCs/>
        </w:rPr>
      </w:pPr>
      <w:r w:rsidRPr="006A32B3">
        <w:rPr>
          <w:b w:val="0"/>
          <w:bCs/>
        </w:rPr>
        <w:t xml:space="preserve">ORCID: </w:t>
      </w:r>
      <w:hyperlink r:id="rId8" w:history="1">
        <w:r w:rsidRPr="006A32B3">
          <w:rPr>
            <w:rStyle w:val="Hyperlink"/>
            <w:b w:val="0"/>
            <w:bCs/>
          </w:rPr>
          <w:t xml:space="preserve">http://orcid.org/0000-0002-2774-614X </w:t>
        </w:r>
      </w:hyperlink>
    </w:p>
    <w:p w14:paraId="57DE9090" w14:textId="77777777" w:rsidR="006A32B3" w:rsidRPr="006A32B3" w:rsidRDefault="006A32B3" w:rsidP="006A32B3">
      <w:pPr>
        <w:pStyle w:val="E-JournalTitle"/>
        <w:ind w:firstLine="0"/>
        <w:jc w:val="left"/>
        <w:rPr>
          <w:b w:val="0"/>
          <w:bCs/>
        </w:rPr>
      </w:pPr>
      <w:r w:rsidRPr="006A32B3">
        <w:rPr>
          <w:b w:val="0"/>
          <w:bCs/>
        </w:rPr>
        <w:t xml:space="preserve">Corresponding author email: </w:t>
      </w:r>
      <w:r w:rsidRPr="006A32B3">
        <w:rPr>
          <w:b w:val="0"/>
          <w:bCs/>
        </w:rPr>
        <w:fldChar w:fldCharType="begin"/>
      </w:r>
      <w:r w:rsidRPr="006A32B3">
        <w:rPr>
          <w:b w:val="0"/>
          <w:bCs/>
        </w:rPr>
        <w:instrText>HYPERLINK "mailto:alvarezjoel.gs@gmail.com"</w:instrText>
      </w:r>
      <w:r w:rsidRPr="006A32B3">
        <w:rPr>
          <w:b w:val="0"/>
          <w:bCs/>
        </w:rPr>
      </w:r>
      <w:r w:rsidRPr="006A32B3">
        <w:rPr>
          <w:b w:val="0"/>
          <w:bCs/>
        </w:rPr>
        <w:fldChar w:fldCharType="separate"/>
      </w:r>
      <w:r w:rsidRPr="006A32B3">
        <w:rPr>
          <w:rStyle w:val="Hyperlink"/>
          <w:b w:val="0"/>
          <w:bCs/>
        </w:rPr>
        <w:t>alvarezjoel.gs@gmail.com</w:t>
      </w:r>
      <w:r w:rsidRPr="006A32B3">
        <w:rPr>
          <w:b w:val="0"/>
          <w:bCs/>
        </w:rPr>
        <w:fldChar w:fldCharType="end"/>
      </w:r>
    </w:p>
    <w:p w14:paraId="5A71E640" w14:textId="77777777" w:rsidR="00BC4D19" w:rsidRPr="00595C37" w:rsidRDefault="00BC4D19" w:rsidP="00BC4D19">
      <w:pPr>
        <w:pStyle w:val="E-JournalTitle"/>
        <w:ind w:firstLine="0"/>
        <w:jc w:val="left"/>
        <w:rPr>
          <w:lang w:val="en-US"/>
        </w:rPr>
      </w:pPr>
    </w:p>
    <w:p w14:paraId="36FCACAA" w14:textId="77777777" w:rsidR="00BC4D19" w:rsidRDefault="00BC4D19" w:rsidP="00BC4D19">
      <w:pPr>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2716"/>
        <w:gridCol w:w="6570"/>
      </w:tblGrid>
      <w:tr w:rsidR="00CE2F30" w:rsidRPr="0060520C" w14:paraId="6AAD2EF6" w14:textId="77777777" w:rsidTr="00391CC9">
        <w:tc>
          <w:tcPr>
            <w:tcW w:w="2716" w:type="dxa"/>
          </w:tcPr>
          <w:p w14:paraId="3AE1353B" w14:textId="77777777" w:rsidR="00CE2F30" w:rsidRPr="008377FE" w:rsidRDefault="00CE2F30" w:rsidP="00CE2F30">
            <w:pPr>
              <w:spacing w:after="0" w:line="240" w:lineRule="auto"/>
              <w:rPr>
                <w:rFonts w:ascii="Times New Roman" w:hAnsi="Times New Roman"/>
                <w:b/>
                <w:color w:val="70AD47" w:themeColor="accent6"/>
              </w:rPr>
            </w:pPr>
            <w:r w:rsidRPr="008377FE">
              <w:rPr>
                <w:rFonts w:ascii="Times New Roman" w:hAnsi="Times New Roman"/>
                <w:b/>
                <w:color w:val="70AD47" w:themeColor="accent6"/>
              </w:rPr>
              <w:t>Article Info</w:t>
            </w:r>
          </w:p>
          <w:p w14:paraId="6CC3ECF3" w14:textId="1FFB2B4E"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Rece</w:t>
            </w:r>
            <w:r w:rsidR="00A83C1D">
              <w:rPr>
                <w:rFonts w:ascii="Times New Roman" w:hAnsi="Times New Roman"/>
                <w:sz w:val="20"/>
                <w:szCs w:val="20"/>
              </w:rPr>
              <w:t>i</w:t>
            </w:r>
            <w:r w:rsidRPr="005D0772">
              <w:rPr>
                <w:rFonts w:ascii="Times New Roman" w:hAnsi="Times New Roman"/>
                <w:sz w:val="20"/>
                <w:szCs w:val="20"/>
              </w:rPr>
              <w:t>ved:</w:t>
            </w:r>
          </w:p>
          <w:p w14:paraId="33662249" w14:textId="77777777"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Revised:</w:t>
            </w:r>
          </w:p>
          <w:p w14:paraId="703E15AC" w14:textId="77777777"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Accepted:</w:t>
            </w:r>
          </w:p>
          <w:p w14:paraId="18D24872" w14:textId="77777777" w:rsidR="00CE2F30" w:rsidRPr="0060520C" w:rsidRDefault="00CE2F30" w:rsidP="00CE2F30">
            <w:pPr>
              <w:spacing w:after="0" w:line="240" w:lineRule="auto"/>
              <w:rPr>
                <w:rFonts w:ascii="Times New Roman" w:hAnsi="Times New Roman"/>
              </w:rPr>
            </w:pPr>
            <w:proofErr w:type="spellStart"/>
            <w:r w:rsidRPr="005D0772">
              <w:rPr>
                <w:rFonts w:ascii="Times New Roman" w:hAnsi="Times New Roman"/>
                <w:sz w:val="20"/>
                <w:szCs w:val="20"/>
              </w:rPr>
              <w:t>OnlineVersion</w:t>
            </w:r>
            <w:proofErr w:type="spellEnd"/>
            <w:r w:rsidRPr="005D0772">
              <w:rPr>
                <w:rFonts w:ascii="Times New Roman" w:hAnsi="Times New Roman"/>
                <w:sz w:val="20"/>
                <w:szCs w:val="20"/>
              </w:rPr>
              <w:t>:</w:t>
            </w:r>
          </w:p>
          <w:p w14:paraId="5631F2B0" w14:textId="77777777" w:rsidR="00CE2F30" w:rsidRPr="0060520C" w:rsidRDefault="00CE2F30" w:rsidP="00CE2F30">
            <w:pPr>
              <w:spacing w:after="0" w:line="240" w:lineRule="auto"/>
              <w:rPr>
                <w:rFonts w:ascii="Times New Roman" w:hAnsi="Times New Roman"/>
              </w:rPr>
            </w:pPr>
          </w:p>
        </w:tc>
        <w:tc>
          <w:tcPr>
            <w:tcW w:w="6570" w:type="dxa"/>
          </w:tcPr>
          <w:p w14:paraId="55382965" w14:textId="47812DCB" w:rsidR="00CE2F30" w:rsidRPr="008377FE" w:rsidRDefault="00CE2F30" w:rsidP="00CE2F30">
            <w:pPr>
              <w:spacing w:after="0" w:line="240" w:lineRule="auto"/>
              <w:rPr>
                <w:rFonts w:ascii="Times New Roman" w:hAnsi="Times New Roman"/>
                <w:b/>
                <w:color w:val="70AD47" w:themeColor="accent6"/>
              </w:rPr>
            </w:pPr>
            <w:r w:rsidRPr="008377FE">
              <w:rPr>
                <w:rFonts w:ascii="Times New Roman" w:hAnsi="Times New Roman"/>
                <w:b/>
                <w:color w:val="70AD47" w:themeColor="accent6"/>
              </w:rPr>
              <w:t>Abstract</w:t>
            </w:r>
          </w:p>
          <w:p w14:paraId="146C94EC" w14:textId="01E05B91" w:rsidR="00CE2F30" w:rsidRDefault="0075064D" w:rsidP="006E7685">
            <w:pPr>
              <w:spacing w:after="0" w:line="240" w:lineRule="auto"/>
              <w:jc w:val="both"/>
              <w:rPr>
                <w:rFonts w:ascii="Times New Roman" w:hAnsi="Times New Roman"/>
              </w:rPr>
            </w:pPr>
            <w:r w:rsidRPr="0075064D">
              <w:rPr>
                <w:rFonts w:ascii="Times New Roman" w:hAnsi="Times New Roman"/>
                <w:lang w:val="en-PH"/>
              </w:rPr>
              <w:t xml:space="preserve">This study evaluates the effectiveness of AI-driven technologies, Flexi 2.0 and </w:t>
            </w:r>
            <w:proofErr w:type="spellStart"/>
            <w:r w:rsidRPr="0075064D">
              <w:rPr>
                <w:rFonts w:ascii="Times New Roman" w:hAnsi="Times New Roman"/>
                <w:lang w:val="en-PH"/>
              </w:rPr>
              <w:t>MathGPT</w:t>
            </w:r>
            <w:proofErr w:type="spellEnd"/>
            <w:r w:rsidRPr="0075064D">
              <w:rPr>
                <w:rFonts w:ascii="Times New Roman" w:hAnsi="Times New Roman"/>
                <w:lang w:val="en-PH"/>
              </w:rPr>
              <w:t>, in enhancing personalized learning and advanced cognitive abilities among pre-service mathematics educators participating in Calculus I. Participants were allocated to a control group receiving conventional training and an experimental group utilizing AI technology, applying a quantitative experimental design. Data were gathered utilizing validated evaluations, surveys, and interviews. The results indicated that students employing AI tutors shown significant improvements in problem-solving and personalized learning compared to the control group. Concerns arose regarding potential over-reliance on AI, underscoring the need for rigorous criteria to guarantee that students engage actively in learning rather than passively receiving AI-generated responses. The findings suggests that educators should create activities requiring students to critically evaluate AI-generated responses to promote independent thinking. The findings highlight the potential of AI in mathematics education, while stressing the importance of ethical considerations and teacher oversight. It requires the training of both students and staff to adapt to improvements in AI inside education. The study reveals that while AI can improve learning outcomes, careful implementation is essential for its effective and responsible use in educational settings</w:t>
            </w:r>
            <w:r w:rsidR="006E7685" w:rsidRPr="006E7685">
              <w:rPr>
                <w:rFonts w:ascii="Times New Roman" w:hAnsi="Times New Roman"/>
              </w:rPr>
              <w:t>.</w:t>
            </w:r>
          </w:p>
          <w:p w14:paraId="6EF365DB" w14:textId="77777777" w:rsidR="00910C55" w:rsidRPr="0050655E" w:rsidRDefault="00910C55" w:rsidP="006E7685">
            <w:pPr>
              <w:spacing w:after="0" w:line="240" w:lineRule="auto"/>
              <w:jc w:val="both"/>
              <w:rPr>
                <w:rFonts w:ascii="Times New Roman" w:hAnsi="Times New Roman"/>
                <w:lang w:val="en-PH"/>
              </w:rPr>
            </w:pPr>
          </w:p>
          <w:p w14:paraId="2499E5B2" w14:textId="385ADC6A" w:rsidR="00CE2F30" w:rsidRPr="0060520C" w:rsidRDefault="00CE2F30" w:rsidP="00CE2F30">
            <w:pPr>
              <w:spacing w:after="0" w:line="240" w:lineRule="auto"/>
              <w:rPr>
                <w:rFonts w:ascii="Times New Roman" w:hAnsi="Times New Roman"/>
              </w:rPr>
            </w:pPr>
            <w:r w:rsidRPr="00CE5CF3">
              <w:rPr>
                <w:rFonts w:ascii="Times New Roman" w:hAnsi="Times New Roman"/>
                <w:color w:val="70AD47" w:themeColor="accent6"/>
              </w:rPr>
              <w:t>Keywords:</w:t>
            </w:r>
            <w:r w:rsidRPr="0060520C">
              <w:rPr>
                <w:rFonts w:ascii="Times New Roman" w:hAnsi="Times New Roman"/>
              </w:rPr>
              <w:t xml:space="preserve"> </w:t>
            </w:r>
            <w:r w:rsidR="006E7685">
              <w:rPr>
                <w:rFonts w:ascii="Times New Roman" w:hAnsi="Times New Roman"/>
              </w:rPr>
              <w:t>Artificial Intelligence, Flexi 2.0, Independent Learning, Math GPT, Mathematics Instruction</w:t>
            </w:r>
          </w:p>
          <w:p w14:paraId="3F0DADD6" w14:textId="77777777" w:rsidR="00CE2F30" w:rsidRPr="0060520C" w:rsidRDefault="00CE2F30" w:rsidP="00CE2F30">
            <w:pPr>
              <w:spacing w:after="0" w:line="240" w:lineRule="auto"/>
              <w:rPr>
                <w:rFonts w:ascii="Times New Roman" w:hAnsi="Times New Roman"/>
                <w:i/>
                <w:iCs/>
              </w:rPr>
            </w:pPr>
          </w:p>
          <w:p w14:paraId="2BBD9298" w14:textId="22AB284E" w:rsidR="00F860A5" w:rsidRDefault="00F860A5" w:rsidP="00CE2F30">
            <w:pPr>
              <w:spacing w:after="0" w:line="240" w:lineRule="auto"/>
              <w:jc w:val="right"/>
              <w:rPr>
                <w:rFonts w:ascii="Times New Roman" w:hAnsi="Times New Roman"/>
              </w:rPr>
            </w:pPr>
            <w:r>
              <w:rPr>
                <w:noProof/>
                <w:color w:val="0000FF"/>
              </w:rPr>
              <w:drawing>
                <wp:inline distT="0" distB="0" distL="0" distR="0" wp14:anchorId="1D4437F9" wp14:editId="4033D3CF">
                  <wp:extent cx="809625" cy="285750"/>
                  <wp:effectExtent l="0" t="0" r="0" b="0"/>
                  <wp:docPr id="950481901" name="Picture 1" descr="Creative Commons Licens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reative Commons Licens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5735" cy="287906"/>
                          </a:xfrm>
                          <a:prstGeom prst="rect">
                            <a:avLst/>
                          </a:prstGeom>
                          <a:noFill/>
                          <a:ln>
                            <a:noFill/>
                          </a:ln>
                        </pic:spPr>
                      </pic:pic>
                    </a:graphicData>
                  </a:graphic>
                </wp:inline>
              </w:drawing>
            </w:r>
          </w:p>
          <w:p w14:paraId="620FEBD9" w14:textId="155C41A3" w:rsidR="00F860A5" w:rsidRPr="00F860A5" w:rsidRDefault="00F860A5" w:rsidP="00CE2F30">
            <w:pPr>
              <w:spacing w:after="0" w:line="240" w:lineRule="auto"/>
              <w:jc w:val="right"/>
              <w:rPr>
                <w:rFonts w:ascii="Times New Roman" w:hAnsi="Times New Roman"/>
              </w:rPr>
            </w:pPr>
            <w:r w:rsidRPr="00F860A5">
              <w:rPr>
                <w:rFonts w:ascii="Times New Roman" w:hAnsi="Times New Roman"/>
              </w:rPr>
              <w:t>© 202</w:t>
            </w:r>
            <w:r>
              <w:rPr>
                <w:rFonts w:ascii="Times New Roman" w:hAnsi="Times New Roman"/>
              </w:rPr>
              <w:t>4</w:t>
            </w:r>
            <w:r w:rsidRPr="00F860A5">
              <w:rPr>
                <w:rFonts w:ascii="Times New Roman" w:hAnsi="Times New Roman"/>
              </w:rPr>
              <w:t xml:space="preserve"> by the author(s)</w:t>
            </w:r>
          </w:p>
          <w:p w14:paraId="54D78243" w14:textId="1AB93C27" w:rsidR="00CE2F30" w:rsidRPr="00F860A5" w:rsidRDefault="00F860A5" w:rsidP="00F860A5">
            <w:pPr>
              <w:spacing w:after="0" w:line="240" w:lineRule="auto"/>
              <w:jc w:val="right"/>
              <w:rPr>
                <w:rFonts w:ascii="Times New Roman" w:hAnsi="Times New Roman"/>
              </w:rPr>
            </w:pPr>
            <w:r w:rsidRPr="00F860A5">
              <w:rPr>
                <w:rFonts w:ascii="Times New Roman" w:hAnsi="Times New Roman"/>
              </w:rPr>
              <w:t>This article is an open access article distributed under the terms and conditions of the Creative Commons Attribution (CC BY) license (</w:t>
            </w:r>
            <w:hyperlink r:id="rId11" w:history="1">
              <w:r w:rsidRPr="00F860A5">
                <w:rPr>
                  <w:rStyle w:val="Hyperlink"/>
                  <w:rFonts w:ascii="Times New Roman" w:hAnsi="Times New Roman"/>
                </w:rPr>
                <w:t>https://creativecommons.org/licenses/by/4.0/</w:t>
              </w:r>
            </w:hyperlink>
            <w:r w:rsidRPr="00F860A5">
              <w:rPr>
                <w:rFonts w:ascii="Times New Roman" w:hAnsi="Times New Roman"/>
              </w:rPr>
              <w:t>).</w:t>
            </w:r>
          </w:p>
        </w:tc>
      </w:tr>
    </w:tbl>
    <w:p w14:paraId="62B6C6DE" w14:textId="77777777" w:rsidR="00BC4D19" w:rsidRDefault="00BC4D19" w:rsidP="00BC4D19">
      <w:pPr>
        <w:pStyle w:val="E-JournalHeading1"/>
      </w:pPr>
    </w:p>
    <w:p w14:paraId="18F8116F" w14:textId="77777777" w:rsidR="00BC4D19" w:rsidRPr="00F860A5" w:rsidRDefault="00BC4D19" w:rsidP="00BC4D19">
      <w:pPr>
        <w:pStyle w:val="E-JournalHeading1"/>
        <w:rPr>
          <w:color w:val="70AD47" w:themeColor="accent6"/>
        </w:rPr>
      </w:pPr>
      <w:r w:rsidRPr="00F860A5">
        <w:rPr>
          <w:color w:val="70AD47" w:themeColor="accent6"/>
        </w:rPr>
        <w:t>INTRODUCTION</w:t>
      </w:r>
    </w:p>
    <w:p w14:paraId="798A686E" w14:textId="39403EED" w:rsidR="0075064D" w:rsidRDefault="0075064D" w:rsidP="0075064D">
      <w:pPr>
        <w:pStyle w:val="E-JournalBody"/>
        <w:ind w:firstLine="709"/>
      </w:pPr>
      <w:r>
        <w:t>Artificial intelligence (AI) has emerged as a viable field for advancing mathematics education and tackling the obstacles students have in learning and problem-solving</w:t>
      </w:r>
      <w:r w:rsidR="00804FF8">
        <w:t xml:space="preserve"> as mentioned by </w:t>
      </w:r>
      <w:r w:rsidR="00804FF8" w:rsidRPr="000537A8">
        <w:rPr>
          <w:bCs/>
          <w:lang w:val="en-PH"/>
        </w:rPr>
        <w:t xml:space="preserve">Van </w:t>
      </w:r>
      <w:proofErr w:type="spellStart"/>
      <w:r w:rsidR="00804FF8" w:rsidRPr="000537A8">
        <w:rPr>
          <w:bCs/>
          <w:lang w:val="en-PH"/>
        </w:rPr>
        <w:t>Vaerenbergh</w:t>
      </w:r>
      <w:proofErr w:type="spellEnd"/>
      <w:r w:rsidR="00804FF8" w:rsidRPr="000537A8">
        <w:rPr>
          <w:bCs/>
          <w:lang w:val="en-PH"/>
        </w:rPr>
        <w:t>, S., Pérez-</w:t>
      </w:r>
      <w:proofErr w:type="spellStart"/>
      <w:r w:rsidR="00804FF8" w:rsidRPr="000537A8">
        <w:rPr>
          <w:bCs/>
          <w:lang w:val="en-PH"/>
        </w:rPr>
        <w:t>Suay</w:t>
      </w:r>
      <w:proofErr w:type="spellEnd"/>
      <w:r w:rsidR="00804FF8" w:rsidRPr="000537A8">
        <w:rPr>
          <w:bCs/>
          <w:lang w:val="en-PH"/>
        </w:rPr>
        <w:t>, A. (2022)</w:t>
      </w:r>
      <w:r>
        <w:t>. Researchers have acknowledged the challenges students face when executing mathematical assignments, particularly those necessitating multiple phases for resolution (Bray &amp; Tangney, 2017). As a result, a targeted project has been implemented to employ AI to enhance mathematics learning results (Hwang &amp; Tu, 2021).</w:t>
      </w:r>
    </w:p>
    <w:p w14:paraId="0651F74A" w14:textId="35D236C8" w:rsidR="0075064D" w:rsidRDefault="0075064D" w:rsidP="00C75820">
      <w:pPr>
        <w:pStyle w:val="E-JournalBody"/>
        <w:ind w:firstLine="709"/>
      </w:pPr>
      <w:r>
        <w:lastRenderedPageBreak/>
        <w:t>Learner-centered education, effectively implemented in classrooms with AI tools, represents a substantial use of AI in the educational sector (Huang, 2018). These AI-driven solutions enhance testing, assessment, and evaluation, offering educators critical data on student performance and learning objectives (Nazaretsky et al., 2022). Students can obtain tailored feedback using AI-powered assessment tools, which assist in identifying their strengths and weaknesses in mathematics (</w:t>
      </w:r>
      <w:r w:rsidR="00CA10EE" w:rsidRPr="00CA10EE">
        <w:rPr>
          <w:bCs/>
          <w:color w:val="000000" w:themeColor="text1"/>
        </w:rPr>
        <w:t>Mohamed</w:t>
      </w:r>
      <w:r>
        <w:t xml:space="preserve"> et al. 2022).</w:t>
      </w:r>
      <w:r w:rsidR="00C75820">
        <w:t xml:space="preserve"> </w:t>
      </w:r>
      <w:r>
        <w:t>The utilization of AI in education, particularly in mathematics instruction, has significantly risen in prominence and media coverage in recent years (</w:t>
      </w:r>
      <w:r w:rsidR="00CA10EE" w:rsidRPr="00CA10EE">
        <w:rPr>
          <w:bCs/>
          <w:color w:val="000000" w:themeColor="text1"/>
        </w:rPr>
        <w:t>Mohamed</w:t>
      </w:r>
      <w:r w:rsidR="00CA10EE">
        <w:t xml:space="preserve"> </w:t>
      </w:r>
      <w:r>
        <w:t>et al., 2022). Artificial intelligence provides novel alternatives to conventional teaching approaches, facilitating the improvement of students' mathematical and cognitive learning skills (</w:t>
      </w:r>
      <w:r w:rsidR="00E82781" w:rsidRPr="00E82781">
        <w:t>Kutyniok, G. &amp; International Mathematical Union. (2022</w:t>
      </w:r>
      <w:r>
        <w:t>). The use of AI allows students to autonomously engage with material and acquire answers more swiftly, hence promoting a culture of self-directed learning (Popenici &amp; Kerr, 2017).</w:t>
      </w:r>
    </w:p>
    <w:p w14:paraId="5D7125F7" w14:textId="45E6D9C6" w:rsidR="0075064D" w:rsidRDefault="0075064D" w:rsidP="00C75820">
      <w:pPr>
        <w:pStyle w:val="E-JournalBody"/>
        <w:ind w:firstLine="709"/>
      </w:pPr>
      <w:r>
        <w:t>Understanding the constraints and obstacles related to the incorporation of AI in mathematical instruction is crucial. Although AI can augment education, it cannot supplant educators in the classroom (Cope et al., 2020). Furthermore, there are pragmatic obstacles associated with the deployment of AI technology, including organizational challenges and apprehensions surrounding academic integrity (Popenici &amp; Kerr, 2017).</w:t>
      </w:r>
      <w:r w:rsidR="00C75820">
        <w:t xml:space="preserve"> </w:t>
      </w:r>
      <w:r>
        <w:t>The use of AI-powered calculator apps (AIPCAs) by students in mathematics education raises concerns around assessment integrity and academic dishonesty (Bray &amp; Tangney, 2017). Educators must create explicit policies and procedures for the application of AIPCAs in the classroom to tackle this difficulty (Bray &amp; Tangney, 2017).</w:t>
      </w:r>
      <w:r w:rsidR="00C75820">
        <w:t xml:space="preserve"> </w:t>
      </w:r>
      <w:r>
        <w:t>The incorporation of AI in mathematics teaching presents intriguing opportunities notwithstanding these obstacles. AI-enhanced computer-based learning systems can provide intelligent tutors, tools, and facilitators, hence augmenting students' creativity and problem-solving abilities (Voskoglou &amp; Salem, 2020). Researchers are continuously enhancing the capabilities of autonomous computing while investigating new areas of artificial intelligence (Chesani et al., 2017).</w:t>
      </w:r>
    </w:p>
    <w:p w14:paraId="6742E588" w14:textId="79F4BE4C" w:rsidR="0075064D" w:rsidRDefault="0075064D" w:rsidP="00C75820">
      <w:pPr>
        <w:pStyle w:val="E-JournalBody"/>
        <w:ind w:firstLine="709"/>
      </w:pPr>
      <w:r>
        <w:t>Artificial intelligence has the potential to significantly improve mathematics education by enabling problem-solving, personalizing learning experiences, and increasing student engagement. Notwithstanding current hurdles, advancements in AI research and development have the potential to fundamentally transform mathematics education in the digital era.</w:t>
      </w:r>
      <w:r w:rsidR="00C75820">
        <w:t xml:space="preserve"> </w:t>
      </w:r>
      <w:r>
        <w:t xml:space="preserve">Despite the growing interest in the application of AI in education, particularly in mathematics, existing research primarily focuses on generic applications rather than specific AI tools that could enhance problem-solving and higher-order thinking skills. Despite the potential of AI for personalized learning and independent study (Bray &amp; Tangney, 2017; </w:t>
      </w:r>
      <w:r w:rsidR="00CA10EE" w:rsidRPr="00CA10EE">
        <w:rPr>
          <w:bCs/>
          <w:color w:val="000000" w:themeColor="text1"/>
        </w:rPr>
        <w:t>Mohamed</w:t>
      </w:r>
      <w:r w:rsidR="00CA10EE">
        <w:t xml:space="preserve"> </w:t>
      </w:r>
      <w:r>
        <w:t>et al., 2022), empirical research on its concrete impact in mathematical problem-solving with complex, multi-step tasks is limited. The shortfall arises from the lack of comprehensive studies that rigorously evaluate specific AI tutors, such as MathGPT and Flexi 2.0, in addressing these challenges, especially for pre-service mathematics educators.</w:t>
      </w:r>
    </w:p>
    <w:p w14:paraId="71463810" w14:textId="48D33646" w:rsidR="00C75820" w:rsidRDefault="0075064D" w:rsidP="00C75820">
      <w:pPr>
        <w:pStyle w:val="E-JournalBody"/>
        <w:ind w:firstLine="709"/>
      </w:pPr>
      <w:r>
        <w:t>As AI revolutionizes education, it is essential to assess how new technologies might effectively improve critical thinking abilities and personalized learning in mathematics. Given the rapid integration of AI in educational environments, educators must quickly adapt to employing these technologies while upholding ethical and pedagogical standards (Cope et al., 2020). Immediate research is necessary to understand the constraints and benefits of AI, providing educators with frameworks to maximize AI's advantages and mitigate overreliance.</w:t>
      </w:r>
      <w:r w:rsidR="00C75820">
        <w:t xml:space="preserve"> </w:t>
      </w:r>
      <w:r>
        <w:t>This study rigorously assesses MathGPT and Flexi 2.0, two AI-based mathematics tutors, to address the identified shortcomings in enhancing students' problem-solving abilities and engagement. It analyzes methods to tackle concerns regarding academic integrity and overdependence on AI by creating frameworks for educator oversight and structured learning experiences that encourage students to critically assess AI-generated outputs.</w:t>
      </w:r>
    </w:p>
    <w:p w14:paraId="3A1B65B1" w14:textId="0145E3F1" w:rsidR="006A32B3" w:rsidRPr="00C75820" w:rsidRDefault="006E7685" w:rsidP="00C75820">
      <w:pPr>
        <w:pStyle w:val="E-JournalBody"/>
        <w:ind w:firstLine="709"/>
      </w:pPr>
      <w:r w:rsidRPr="006E7685">
        <w:rPr>
          <w:szCs w:val="22"/>
        </w:rPr>
        <w:tab/>
      </w:r>
      <w:r w:rsidR="006A32B3" w:rsidRPr="006A32B3">
        <w:rPr>
          <w:lang w:val="en-PH"/>
        </w:rPr>
        <w:t xml:space="preserve">This study seeks to investigate the effectiveness and potential of incorporating AI-driven math tutors, such as </w:t>
      </w:r>
      <w:proofErr w:type="spellStart"/>
      <w:r w:rsidR="006A32B3" w:rsidRPr="006A32B3">
        <w:rPr>
          <w:lang w:val="en-PH"/>
        </w:rPr>
        <w:t>MathGPT</w:t>
      </w:r>
      <w:proofErr w:type="spellEnd"/>
      <w:r w:rsidR="006A32B3" w:rsidRPr="006A32B3">
        <w:rPr>
          <w:lang w:val="en-PH"/>
        </w:rPr>
        <w:t xml:space="preserve"> and Flexi 2.0, in improving students' higher-order thinking skills and learning in Calculus, particularly in Analytic Geometry and Differential Calculus. </w:t>
      </w:r>
      <w:r w:rsidR="006A32B3">
        <w:rPr>
          <w:lang w:val="en-PH"/>
        </w:rPr>
        <w:t xml:space="preserve">Specifically, this study </w:t>
      </w:r>
      <w:r w:rsidR="006A32B3" w:rsidRPr="006A32B3">
        <w:rPr>
          <w:lang w:val="en-PH"/>
        </w:rPr>
        <w:t xml:space="preserve">aims to delineate student performance before to and following the utilization of these tools, identify any notable </w:t>
      </w:r>
      <w:r w:rsidR="006A32B3">
        <w:rPr>
          <w:lang w:val="en-PH"/>
        </w:rPr>
        <w:t xml:space="preserve">differences </w:t>
      </w:r>
      <w:r w:rsidR="006A32B3" w:rsidRPr="006A32B3">
        <w:rPr>
          <w:lang w:val="en-PH"/>
        </w:rPr>
        <w:t xml:space="preserve">in their effects, and examine the obstacles </w:t>
      </w:r>
      <w:r w:rsidR="006A32B3">
        <w:rPr>
          <w:lang w:val="en-PH"/>
        </w:rPr>
        <w:t xml:space="preserve">and challenges </w:t>
      </w:r>
      <w:r w:rsidR="006A32B3" w:rsidRPr="006A32B3">
        <w:rPr>
          <w:lang w:val="en-PH"/>
        </w:rPr>
        <w:t>encountered by learners in their application. The study examine</w:t>
      </w:r>
      <w:r w:rsidR="006A32B3">
        <w:rPr>
          <w:lang w:val="en-PH"/>
        </w:rPr>
        <w:t>d</w:t>
      </w:r>
      <w:r w:rsidR="006A32B3" w:rsidRPr="006A32B3">
        <w:rPr>
          <w:lang w:val="en-PH"/>
        </w:rPr>
        <w:t xml:space="preserve"> the potential for integrating AI-driven math tutors into the instruction of Calculus 1 to enhance educational outcomes.</w:t>
      </w:r>
    </w:p>
    <w:p w14:paraId="4238F0CD" w14:textId="48190A79" w:rsidR="00BC4D19" w:rsidRDefault="00BC4D19" w:rsidP="006A32B3">
      <w:pPr>
        <w:pStyle w:val="E-JournalBody"/>
        <w:ind w:firstLine="709"/>
        <w:rPr>
          <w:szCs w:val="22"/>
          <w:lang w:val="en-US"/>
        </w:rPr>
      </w:pPr>
    </w:p>
    <w:p w14:paraId="1D7ACF80" w14:textId="77777777" w:rsidR="00BC4D19" w:rsidRPr="00F860A5" w:rsidRDefault="00BC4D19" w:rsidP="00BC4D19">
      <w:pPr>
        <w:pStyle w:val="E-JournalHeading1"/>
        <w:rPr>
          <w:color w:val="70AD47" w:themeColor="accent6"/>
        </w:rPr>
      </w:pPr>
      <w:r w:rsidRPr="00F860A5">
        <w:rPr>
          <w:color w:val="70AD47" w:themeColor="accent6"/>
        </w:rPr>
        <w:t>RESEARCH METHOD</w:t>
      </w:r>
    </w:p>
    <w:p w14:paraId="76C4FA71" w14:textId="77777777" w:rsidR="00BC4D19" w:rsidRPr="00F21E16" w:rsidRDefault="00BC4D19" w:rsidP="00BC4D19">
      <w:pPr>
        <w:pStyle w:val="E-JournalHeading2"/>
        <w:rPr>
          <w:b/>
          <w:bCs/>
          <w:i/>
          <w:iCs/>
          <w:color w:val="70AD47" w:themeColor="accent6"/>
        </w:rPr>
      </w:pPr>
      <w:r w:rsidRPr="00F21E16">
        <w:rPr>
          <w:b/>
          <w:bCs/>
          <w:i/>
          <w:iCs/>
          <w:color w:val="70AD47" w:themeColor="accent6"/>
          <w:lang w:val="id-ID"/>
        </w:rPr>
        <w:t>Research</w:t>
      </w:r>
      <w:r w:rsidRPr="00F21E16">
        <w:rPr>
          <w:b/>
          <w:bCs/>
          <w:i/>
          <w:iCs/>
          <w:color w:val="70AD47" w:themeColor="accent6"/>
        </w:rPr>
        <w:t xml:space="preserve"> Design</w:t>
      </w:r>
    </w:p>
    <w:p w14:paraId="79507DDE" w14:textId="4D1062D8" w:rsidR="006E7685" w:rsidRPr="0007484B" w:rsidRDefault="0007484B" w:rsidP="0007484B">
      <w:pPr>
        <w:pStyle w:val="E-JournalHeading2"/>
        <w:ind w:firstLine="720"/>
        <w:jc w:val="both"/>
        <w:rPr>
          <w:lang w:val="en-PH"/>
        </w:rPr>
      </w:pPr>
      <w:r w:rsidRPr="0007484B">
        <w:rPr>
          <w:lang w:val="en-PH"/>
        </w:rPr>
        <w:t xml:space="preserve">This research utilized a quantitative methodology via a quasi-experimental design. Cortez (2015, as referenced by Alvarez, 2021) asserts that experimental research investigates </w:t>
      </w:r>
      <w:r w:rsidR="00C75820">
        <w:rPr>
          <w:lang w:val="en-PH"/>
        </w:rPr>
        <w:t>“</w:t>
      </w:r>
      <w:r w:rsidRPr="0007484B">
        <w:rPr>
          <w:lang w:val="en-PH"/>
        </w:rPr>
        <w:t>what will be</w:t>
      </w:r>
      <w:r w:rsidR="00C75820">
        <w:rPr>
          <w:lang w:val="en-PH"/>
        </w:rPr>
        <w:t>”</w:t>
      </w:r>
      <w:r w:rsidRPr="0007484B">
        <w:rPr>
          <w:lang w:val="en-PH"/>
        </w:rPr>
        <w:t xml:space="preserve"> through the manipulation and control of particular variables. It is the only method capable of rigorously verifying theories concerning cause-and-effect relationships. This method enables a clearer comprehension of how various factors affect outcomes by meticulously manipulating variables in a controlled environment, rendering it an essential instrument for assessing the efficacy of educational programs.</w:t>
      </w:r>
    </w:p>
    <w:p w14:paraId="28061A7A" w14:textId="6A108EC8" w:rsidR="00BC4D19" w:rsidRPr="00F21E16" w:rsidRDefault="00105454" w:rsidP="006E7685">
      <w:pPr>
        <w:pStyle w:val="E-JournalHeading2"/>
        <w:rPr>
          <w:b/>
          <w:bCs/>
          <w:i/>
          <w:iCs/>
          <w:color w:val="70AD47" w:themeColor="accent6"/>
          <w:szCs w:val="24"/>
          <w:lang w:val="id-ID"/>
        </w:rPr>
      </w:pPr>
      <w:r>
        <w:rPr>
          <w:b/>
          <w:bCs/>
          <w:i/>
          <w:iCs/>
          <w:color w:val="70AD47" w:themeColor="accent6"/>
          <w:szCs w:val="24"/>
          <w:lang w:val="id-ID"/>
        </w:rPr>
        <w:t>Sample and Sampling Technique</w:t>
      </w:r>
    </w:p>
    <w:p w14:paraId="0D32851A" w14:textId="687A9F90" w:rsidR="00BC4D19" w:rsidRPr="0007484B" w:rsidRDefault="0007484B" w:rsidP="0007484B">
      <w:pPr>
        <w:pStyle w:val="E-JournalHeading2"/>
        <w:ind w:firstLine="720"/>
        <w:jc w:val="both"/>
        <w:rPr>
          <w:szCs w:val="24"/>
          <w:lang w:val="en-PH"/>
        </w:rPr>
      </w:pPr>
      <w:r w:rsidRPr="0007484B">
        <w:rPr>
          <w:szCs w:val="24"/>
          <w:lang w:val="en-PH"/>
        </w:rPr>
        <w:t xml:space="preserve">This survey was conducted with selected Bachelor of Secondary Education - Mathematics students from a certain State University in the Philippines. The study's subjects consist of eight (8) male and twelve (12) female students who completed Calculus 1 (SEM 8) during the study period. The respondents were intentionally chosen according to the specified criteria. The participants were statistically categorized into two groups: one group employed </w:t>
      </w:r>
      <w:proofErr w:type="spellStart"/>
      <w:r w:rsidRPr="0007484B">
        <w:rPr>
          <w:szCs w:val="24"/>
          <w:lang w:val="en-PH"/>
        </w:rPr>
        <w:t>MathGPT</w:t>
      </w:r>
      <w:proofErr w:type="spellEnd"/>
      <w:r w:rsidRPr="0007484B">
        <w:rPr>
          <w:szCs w:val="24"/>
          <w:lang w:val="en-PH"/>
        </w:rPr>
        <w:t>, while the other utilized Flexi 2.0 as a supplementary learning resource for Calculus 1. The division of participants into groups is based on the pre-test results of the teacher-created Calculus assessment conducted before to the experiment.</w:t>
      </w:r>
    </w:p>
    <w:p w14:paraId="6628F48F" w14:textId="21B258EC" w:rsidR="00BC4D19" w:rsidRPr="00F21E16" w:rsidRDefault="00105454" w:rsidP="00BC4D19">
      <w:pPr>
        <w:pStyle w:val="E-JournalHeading2"/>
        <w:rPr>
          <w:b/>
          <w:bCs/>
          <w:i/>
          <w:iCs/>
          <w:color w:val="70AD47" w:themeColor="accent6"/>
          <w:szCs w:val="24"/>
          <w:lang w:val="id-ID"/>
        </w:rPr>
      </w:pPr>
      <w:r>
        <w:rPr>
          <w:b/>
          <w:bCs/>
          <w:i/>
          <w:iCs/>
          <w:color w:val="70AD47" w:themeColor="accent6"/>
          <w:szCs w:val="24"/>
        </w:rPr>
        <w:t>Data Collection</w:t>
      </w:r>
    </w:p>
    <w:p w14:paraId="753A2102" w14:textId="77777777" w:rsidR="0075064D" w:rsidRPr="0075064D" w:rsidRDefault="0075064D" w:rsidP="0075064D">
      <w:pPr>
        <w:pStyle w:val="E-JournalHeading2"/>
        <w:ind w:firstLine="720"/>
        <w:jc w:val="both"/>
        <w:rPr>
          <w:lang w:val="id-ID"/>
        </w:rPr>
      </w:pPr>
      <w:r w:rsidRPr="0075064D">
        <w:rPr>
          <w:lang w:val="id-ID"/>
        </w:rPr>
        <w:t>The researchers classified the patients into two groups: MathGPT and Flexi 2.0. The two groups were directed to employ the specified AI-driven mathematics coach to comprehend the resolutions to diverse calculus problems. Their problem-solving abilities, as evidenced by the outcomes of a teacher-designed Calculus examination, were evaluated and contrasted; hence, this methodological approach is considered the most appropriate.</w:t>
      </w:r>
    </w:p>
    <w:p w14:paraId="0AF629FC" w14:textId="77777777" w:rsidR="0075064D" w:rsidRDefault="0075064D" w:rsidP="0075064D">
      <w:pPr>
        <w:pStyle w:val="E-JournalHeading2"/>
        <w:ind w:firstLine="720"/>
        <w:jc w:val="both"/>
        <w:rPr>
          <w:lang w:val="id-ID"/>
        </w:rPr>
      </w:pPr>
      <w:r w:rsidRPr="0075064D">
        <w:rPr>
          <w:lang w:val="id-ID"/>
        </w:rPr>
        <w:t>This study included both qualitative and quantitative research methodologies, comprising two components. Phase 1 entailed the analysis of learner performance and the identification of significant disparities both within and between the scores of the two groups. The qualitative study method was utilized to clarify the distinctions in learners' presentation of their solutions and to identify the challenges and possibilities faced by learners when using the two AI-driven math tutors.</w:t>
      </w:r>
    </w:p>
    <w:p w14:paraId="7D92AA00" w14:textId="7B230EA8" w:rsidR="00BC4D19" w:rsidRPr="00F21E16" w:rsidRDefault="00BC4D19" w:rsidP="0075064D">
      <w:pPr>
        <w:pStyle w:val="E-JournalHeading2"/>
        <w:rPr>
          <w:b/>
          <w:bCs/>
          <w:i/>
          <w:iCs/>
          <w:color w:val="70AD47" w:themeColor="accent6"/>
        </w:rPr>
      </w:pPr>
      <w:r w:rsidRPr="00F21E16">
        <w:rPr>
          <w:b/>
          <w:bCs/>
          <w:i/>
          <w:iCs/>
          <w:color w:val="70AD47" w:themeColor="accent6"/>
          <w:szCs w:val="24"/>
          <w:lang w:val="id-ID"/>
        </w:rPr>
        <w:t>Instruments</w:t>
      </w:r>
      <w:r w:rsidR="00105454">
        <w:rPr>
          <w:b/>
          <w:bCs/>
          <w:i/>
          <w:iCs/>
          <w:color w:val="70AD47" w:themeColor="accent6"/>
          <w:szCs w:val="24"/>
          <w:lang w:val="id-ID"/>
        </w:rPr>
        <w:t xml:space="preserve"> of the Study</w:t>
      </w:r>
    </w:p>
    <w:p w14:paraId="67D469DC" w14:textId="29699CA4" w:rsidR="006E7685" w:rsidRPr="006E7685" w:rsidRDefault="006E7685" w:rsidP="006E7685">
      <w:pPr>
        <w:tabs>
          <w:tab w:val="left" w:pos="142"/>
        </w:tabs>
        <w:spacing w:line="240" w:lineRule="auto"/>
        <w:jc w:val="both"/>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sidRPr="006E7685">
        <w:rPr>
          <w:rFonts w:ascii="Times New Roman" w:hAnsi="Times New Roman"/>
          <w:color w:val="000000" w:themeColor="text1"/>
        </w:rPr>
        <w:t xml:space="preserve">This study made use of instruments that was of help to obtain the data and for the success of the study. This study used </w:t>
      </w:r>
      <w:proofErr w:type="spellStart"/>
      <w:r w:rsidRPr="006E7685">
        <w:rPr>
          <w:rFonts w:ascii="Times New Roman" w:hAnsi="Times New Roman"/>
          <w:color w:val="000000" w:themeColor="text1"/>
        </w:rPr>
        <w:t>i</w:t>
      </w:r>
      <w:proofErr w:type="spellEnd"/>
      <w:r w:rsidRPr="006E7685">
        <w:rPr>
          <w:rFonts w:ascii="Times New Roman" w:hAnsi="Times New Roman"/>
          <w:color w:val="000000" w:themeColor="text1"/>
        </w:rPr>
        <w:t xml:space="preserve">.) </w:t>
      </w:r>
      <w:bookmarkStart w:id="0" w:name="_Hlk163941965"/>
      <w:r w:rsidRPr="006E7685">
        <w:rPr>
          <w:rFonts w:ascii="Times New Roman" w:hAnsi="Times New Roman"/>
          <w:color w:val="000000" w:themeColor="text1"/>
        </w:rPr>
        <w:t>Teacher – Made Test in Calculus</w:t>
      </w:r>
      <w:bookmarkEnd w:id="0"/>
      <w:r w:rsidRPr="006E7685">
        <w:rPr>
          <w:rFonts w:ascii="Times New Roman" w:hAnsi="Times New Roman"/>
          <w:color w:val="000000" w:themeColor="text1"/>
        </w:rPr>
        <w:t xml:space="preserve">, ii.) Flexi 2.0 and iii.) </w:t>
      </w:r>
      <w:proofErr w:type="spellStart"/>
      <w:r w:rsidRPr="006E7685">
        <w:rPr>
          <w:rFonts w:ascii="Times New Roman" w:hAnsi="Times New Roman"/>
          <w:color w:val="000000" w:themeColor="text1"/>
        </w:rPr>
        <w:t>MathGPT</w:t>
      </w:r>
      <w:proofErr w:type="spellEnd"/>
      <w:r w:rsidRPr="006E7685">
        <w:rPr>
          <w:rFonts w:ascii="Times New Roman" w:hAnsi="Times New Roman"/>
          <w:color w:val="000000" w:themeColor="text1"/>
        </w:rPr>
        <w:t>.</w:t>
      </w:r>
    </w:p>
    <w:p w14:paraId="5AEE084B" w14:textId="77777777" w:rsidR="006E7685" w:rsidRPr="006E7685" w:rsidRDefault="006E7685" w:rsidP="006E7685">
      <w:pPr>
        <w:pStyle w:val="ListParagraph"/>
        <w:numPr>
          <w:ilvl w:val="0"/>
          <w:numId w:val="18"/>
        </w:numPr>
        <w:tabs>
          <w:tab w:val="left" w:pos="142"/>
        </w:tabs>
        <w:spacing w:line="240" w:lineRule="auto"/>
        <w:jc w:val="both"/>
        <w:rPr>
          <w:rFonts w:ascii="Times New Roman" w:hAnsi="Times New Roman"/>
          <w:b/>
          <w:i/>
          <w:iCs/>
          <w:color w:val="000000" w:themeColor="text1"/>
          <w:lang w:val="en-US"/>
        </w:rPr>
      </w:pPr>
      <w:r w:rsidRPr="006E7685">
        <w:rPr>
          <w:rFonts w:ascii="Times New Roman" w:hAnsi="Times New Roman"/>
          <w:b/>
          <w:i/>
          <w:iCs/>
          <w:color w:val="000000" w:themeColor="text1"/>
          <w:lang w:val="en-US"/>
        </w:rPr>
        <w:t>Teacher – Made Test in Calculus (TMTC)</w:t>
      </w:r>
    </w:p>
    <w:p w14:paraId="412A0E7F" w14:textId="77777777" w:rsidR="005247EC" w:rsidRDefault="00A146F1" w:rsidP="005247EC">
      <w:pPr>
        <w:spacing w:after="0" w:line="240" w:lineRule="auto"/>
        <w:ind w:firstLine="720"/>
        <w:jc w:val="both"/>
        <w:rPr>
          <w:rFonts w:ascii="Times New Roman" w:hAnsi="Times New Roman"/>
          <w:sz w:val="24"/>
          <w:szCs w:val="24"/>
          <w:lang w:val="en-PH" w:eastAsia="en-PH"/>
        </w:rPr>
      </w:pPr>
      <w:r w:rsidRPr="00A146F1">
        <w:rPr>
          <w:rFonts w:ascii="Times New Roman" w:hAnsi="Times New Roman"/>
          <w:i/>
          <w:iCs/>
          <w:sz w:val="24"/>
          <w:szCs w:val="24"/>
          <w:lang w:val="en-PH" w:eastAsia="en-PH"/>
        </w:rPr>
        <w:t>Description:</w:t>
      </w:r>
      <w:r>
        <w:rPr>
          <w:rFonts w:ascii="Times New Roman" w:hAnsi="Times New Roman"/>
          <w:sz w:val="24"/>
          <w:szCs w:val="24"/>
          <w:lang w:val="en-PH" w:eastAsia="en-PH"/>
        </w:rPr>
        <w:t xml:space="preserve"> </w:t>
      </w:r>
      <w:r w:rsidRPr="00A146F1">
        <w:rPr>
          <w:rFonts w:ascii="Times New Roman" w:hAnsi="Times New Roman"/>
          <w:sz w:val="24"/>
          <w:szCs w:val="24"/>
          <w:lang w:val="en-PH" w:eastAsia="en-PH"/>
        </w:rPr>
        <w:t xml:space="preserve">The Teacher-Made Test in Calculus (TMTC) is an assessment created by educators that encompasses items related to the Calculus material of the BSE - Mathematics curriculum. The test is a multiple-choice format consisting of 40 items, each with four options. </w:t>
      </w:r>
      <w:r w:rsidRPr="00A146F1">
        <w:rPr>
          <w:rFonts w:ascii="Times New Roman" w:hAnsi="Times New Roman"/>
          <w:sz w:val="24"/>
          <w:szCs w:val="24"/>
          <w:lang w:val="en-PH" w:eastAsia="en-PH"/>
        </w:rPr>
        <w:br/>
        <w:t xml:space="preserve">A Table of Specification for TMTC was created for this purpose. </w:t>
      </w:r>
    </w:p>
    <w:p w14:paraId="1015B4EF" w14:textId="1E87DF56" w:rsidR="006E7685" w:rsidRDefault="005247EC" w:rsidP="00731AA5">
      <w:pPr>
        <w:spacing w:after="0" w:line="240" w:lineRule="auto"/>
        <w:ind w:firstLine="720"/>
        <w:jc w:val="both"/>
        <w:rPr>
          <w:rFonts w:ascii="Times New Roman" w:hAnsi="Times New Roman"/>
          <w:sz w:val="24"/>
          <w:szCs w:val="24"/>
          <w:lang w:val="en-PH" w:eastAsia="en-PH"/>
        </w:rPr>
      </w:pPr>
      <w:r w:rsidRPr="005247EC">
        <w:rPr>
          <w:rFonts w:ascii="Times New Roman" w:hAnsi="Times New Roman"/>
          <w:i/>
          <w:iCs/>
          <w:sz w:val="24"/>
          <w:szCs w:val="24"/>
          <w:lang w:val="en-PH" w:eastAsia="en-PH"/>
        </w:rPr>
        <w:t>Validation:</w:t>
      </w:r>
      <w:r>
        <w:rPr>
          <w:rFonts w:ascii="Times New Roman" w:hAnsi="Times New Roman"/>
          <w:sz w:val="24"/>
          <w:szCs w:val="24"/>
          <w:lang w:val="en-PH" w:eastAsia="en-PH"/>
        </w:rPr>
        <w:t xml:space="preserve"> </w:t>
      </w:r>
      <w:r w:rsidR="00A146F1" w:rsidRPr="00A146F1">
        <w:rPr>
          <w:rFonts w:ascii="Times New Roman" w:hAnsi="Times New Roman"/>
          <w:sz w:val="24"/>
          <w:szCs w:val="24"/>
          <w:lang w:val="en-PH" w:eastAsia="en-PH"/>
        </w:rPr>
        <w:t xml:space="preserve">The preliminary version of TMTC was evaluated by a Mathematics expert and was pilot-tested with a cohort of college students who had completed Calculus and were not part of the sample group. Following pilot testing and the evaluation of internal consistency, the 50-item test was subsequently reduced to 40 items, achieving an alpha index of 0.802. </w:t>
      </w:r>
    </w:p>
    <w:p w14:paraId="6870A05E" w14:textId="77777777" w:rsidR="00731AA5" w:rsidRPr="00731AA5" w:rsidRDefault="00731AA5" w:rsidP="00731AA5">
      <w:pPr>
        <w:spacing w:after="0" w:line="240" w:lineRule="auto"/>
        <w:ind w:firstLine="720"/>
        <w:jc w:val="both"/>
        <w:rPr>
          <w:rFonts w:ascii="Times New Roman" w:hAnsi="Times New Roman"/>
          <w:sz w:val="24"/>
          <w:szCs w:val="24"/>
          <w:lang w:val="en-PH" w:eastAsia="en-PH"/>
        </w:rPr>
      </w:pPr>
    </w:p>
    <w:p w14:paraId="2BCAF51D" w14:textId="77777777" w:rsidR="006E7685" w:rsidRPr="006E7685" w:rsidRDefault="006E7685" w:rsidP="006E7685">
      <w:pPr>
        <w:pStyle w:val="ListParagraph"/>
        <w:numPr>
          <w:ilvl w:val="0"/>
          <w:numId w:val="18"/>
        </w:numPr>
        <w:tabs>
          <w:tab w:val="left" w:pos="142"/>
        </w:tabs>
        <w:spacing w:line="240" w:lineRule="auto"/>
        <w:jc w:val="both"/>
        <w:rPr>
          <w:rFonts w:ascii="Times New Roman" w:hAnsi="Times New Roman"/>
          <w:b/>
          <w:bCs/>
          <w:i/>
          <w:iCs/>
          <w:color w:val="000000" w:themeColor="text1"/>
        </w:rPr>
      </w:pPr>
      <w:r w:rsidRPr="006E7685">
        <w:rPr>
          <w:rFonts w:ascii="Times New Roman" w:hAnsi="Times New Roman"/>
          <w:b/>
          <w:bCs/>
          <w:i/>
          <w:iCs/>
          <w:color w:val="000000" w:themeColor="text1"/>
        </w:rPr>
        <w:t>MathGPT</w:t>
      </w:r>
    </w:p>
    <w:p w14:paraId="73E9FCA1" w14:textId="405653BC" w:rsidR="0007484B" w:rsidRDefault="006E7685" w:rsidP="0007484B">
      <w:pPr>
        <w:tabs>
          <w:tab w:val="left" w:pos="142"/>
        </w:tabs>
        <w:spacing w:line="240" w:lineRule="auto"/>
        <w:jc w:val="both"/>
        <w:rPr>
          <w:rFonts w:ascii="Times New Roman" w:hAnsi="Times New Roman"/>
          <w:color w:val="000000" w:themeColor="text1"/>
        </w:rPr>
      </w:pPr>
      <w:r w:rsidRPr="006E7685">
        <w:rPr>
          <w:rFonts w:ascii="Times New Roman" w:hAnsi="Times New Roman"/>
          <w:color w:val="000000" w:themeColor="text1"/>
        </w:rPr>
        <w:tab/>
      </w:r>
      <w:r w:rsidRPr="006E7685">
        <w:rPr>
          <w:rFonts w:ascii="Times New Roman" w:hAnsi="Times New Roman"/>
          <w:color w:val="000000" w:themeColor="text1"/>
        </w:rPr>
        <w:tab/>
      </w:r>
      <w:r w:rsidR="0007484B" w:rsidRPr="0007484B">
        <w:rPr>
          <w:rFonts w:ascii="Times New Roman" w:hAnsi="Times New Roman"/>
          <w:color w:val="000000" w:themeColor="text1"/>
        </w:rPr>
        <w:t xml:space="preserve">Hyperspace Technologies Inc. has created a sophisticated mathematical language model named </w:t>
      </w:r>
      <w:proofErr w:type="spellStart"/>
      <w:r w:rsidR="0007484B" w:rsidRPr="0007484B">
        <w:rPr>
          <w:rFonts w:ascii="Times New Roman" w:hAnsi="Times New Roman"/>
          <w:color w:val="000000" w:themeColor="text1"/>
        </w:rPr>
        <w:t>MathGPT</w:t>
      </w:r>
      <w:proofErr w:type="spellEnd"/>
      <w:r w:rsidR="0007484B" w:rsidRPr="0007484B">
        <w:rPr>
          <w:rFonts w:ascii="Times New Roman" w:hAnsi="Times New Roman"/>
          <w:color w:val="000000" w:themeColor="text1"/>
        </w:rPr>
        <w:t>. It aims to assist individuals in exploring mathematical concepts, generating mathematical proofs, and resolving complex mathematical problems.</w:t>
      </w:r>
      <w:r w:rsidR="00C07090">
        <w:rPr>
          <w:rFonts w:ascii="Times New Roman" w:hAnsi="Times New Roman"/>
          <w:color w:val="000000" w:themeColor="text1"/>
        </w:rPr>
        <w:t xml:space="preserve"> </w:t>
      </w:r>
      <w:proofErr w:type="spellStart"/>
      <w:r w:rsidR="0007484B" w:rsidRPr="0007484B">
        <w:rPr>
          <w:rFonts w:ascii="Times New Roman" w:hAnsi="Times New Roman"/>
          <w:color w:val="000000" w:themeColor="text1"/>
        </w:rPr>
        <w:t>MathGPT</w:t>
      </w:r>
      <w:proofErr w:type="spellEnd"/>
      <w:r w:rsidR="0007484B" w:rsidRPr="0007484B">
        <w:rPr>
          <w:rFonts w:ascii="Times New Roman" w:hAnsi="Times New Roman"/>
          <w:color w:val="000000" w:themeColor="text1"/>
        </w:rPr>
        <w:t xml:space="preserve"> is founded on contemporary natural language processing (NLP) techniques and deep learning algorithms, allowing it to understand and generate mathematical expressions with remarkable efficiency and accuracy.</w:t>
      </w:r>
    </w:p>
    <w:p w14:paraId="1E3257A8" w14:textId="40F5CABD" w:rsidR="0007484B" w:rsidRPr="0007484B" w:rsidRDefault="0007484B" w:rsidP="0007484B">
      <w:pPr>
        <w:tabs>
          <w:tab w:val="left" w:pos="142"/>
        </w:tabs>
        <w:spacing w:line="240" w:lineRule="auto"/>
        <w:jc w:val="both"/>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sidRPr="0007484B">
        <w:rPr>
          <w:rFonts w:ascii="Times New Roman" w:hAnsi="Times New Roman"/>
          <w:i/>
          <w:iCs/>
          <w:color w:val="000000" w:themeColor="text1"/>
        </w:rPr>
        <w:t>Validation:</w:t>
      </w:r>
      <w:r w:rsidRPr="0007484B">
        <w:rPr>
          <w:rFonts w:ascii="Times New Roman" w:hAnsi="Times New Roman"/>
          <w:color w:val="000000" w:themeColor="text1"/>
        </w:rPr>
        <w:t xml:space="preserve"> Hyperspace Technologies Inc. systematically verifies the accuracy and reliability of </w:t>
      </w:r>
      <w:proofErr w:type="spellStart"/>
      <w:r w:rsidRPr="0007484B">
        <w:rPr>
          <w:rFonts w:ascii="Times New Roman" w:hAnsi="Times New Roman"/>
          <w:color w:val="000000" w:themeColor="text1"/>
        </w:rPr>
        <w:t>MathGPT</w:t>
      </w:r>
      <w:proofErr w:type="spellEnd"/>
      <w:r w:rsidRPr="0007484B">
        <w:rPr>
          <w:rFonts w:ascii="Times New Roman" w:hAnsi="Times New Roman"/>
          <w:color w:val="000000" w:themeColor="text1"/>
        </w:rPr>
        <w:t xml:space="preserve"> through many steps. </w:t>
      </w:r>
      <w:proofErr w:type="spellStart"/>
      <w:r w:rsidRPr="0007484B">
        <w:rPr>
          <w:rFonts w:ascii="Times New Roman" w:hAnsi="Times New Roman"/>
          <w:color w:val="000000" w:themeColor="text1"/>
        </w:rPr>
        <w:t>MathGPT</w:t>
      </w:r>
      <w:proofErr w:type="spellEnd"/>
      <w:r w:rsidRPr="0007484B">
        <w:rPr>
          <w:rFonts w:ascii="Times New Roman" w:hAnsi="Times New Roman"/>
          <w:color w:val="000000" w:themeColor="text1"/>
        </w:rPr>
        <w:t xml:space="preserve"> was initially trained on an extensive dataset of mathematical texts from many sources and subsequently fine-tuned with a validation set of mathematical problems with established solutions to evaluate its performance and pinpoint areas for improvement. Subsequent to training, comprehensive testing is performed on novel data, integrating automatic assessments and expert manual evaluations. User feedback is consistently collected and evaluated to identify prevalent issues and enhance </w:t>
      </w:r>
      <w:proofErr w:type="spellStart"/>
      <w:r w:rsidRPr="0007484B">
        <w:rPr>
          <w:rFonts w:ascii="Times New Roman" w:hAnsi="Times New Roman"/>
          <w:color w:val="000000" w:themeColor="text1"/>
        </w:rPr>
        <w:t>MathGPT's</w:t>
      </w:r>
      <w:proofErr w:type="spellEnd"/>
      <w:r w:rsidRPr="0007484B">
        <w:rPr>
          <w:rFonts w:ascii="Times New Roman" w:hAnsi="Times New Roman"/>
          <w:color w:val="000000" w:themeColor="text1"/>
        </w:rPr>
        <w:t xml:space="preserve"> functionalities, enabling ongoing updates and advancements informed by the latest research and user insights. This iterative procedure guarantees </w:t>
      </w:r>
      <w:proofErr w:type="spellStart"/>
      <w:r w:rsidRPr="0007484B">
        <w:rPr>
          <w:rFonts w:ascii="Times New Roman" w:hAnsi="Times New Roman"/>
          <w:color w:val="000000" w:themeColor="text1"/>
        </w:rPr>
        <w:t>MathGPT's</w:t>
      </w:r>
      <w:proofErr w:type="spellEnd"/>
      <w:r w:rsidRPr="0007484B">
        <w:rPr>
          <w:rFonts w:ascii="Times New Roman" w:hAnsi="Times New Roman"/>
          <w:color w:val="000000" w:themeColor="text1"/>
        </w:rPr>
        <w:t xml:space="preserve"> ongoing development and expertise in tackling various mathematical problems.</w:t>
      </w:r>
    </w:p>
    <w:p w14:paraId="7E107FC6" w14:textId="38A45A8F" w:rsidR="006E7685" w:rsidRPr="0007484B" w:rsidRDefault="006E7685" w:rsidP="0007484B">
      <w:pPr>
        <w:pStyle w:val="ListParagraph"/>
        <w:numPr>
          <w:ilvl w:val="0"/>
          <w:numId w:val="18"/>
        </w:numPr>
        <w:tabs>
          <w:tab w:val="left" w:pos="142"/>
        </w:tabs>
        <w:spacing w:line="240" w:lineRule="auto"/>
        <w:jc w:val="both"/>
        <w:rPr>
          <w:rFonts w:ascii="Times New Roman" w:hAnsi="Times New Roman"/>
          <w:b/>
          <w:bCs/>
          <w:i/>
          <w:iCs/>
          <w:color w:val="000000" w:themeColor="text1"/>
        </w:rPr>
      </w:pPr>
      <w:r w:rsidRPr="0007484B">
        <w:rPr>
          <w:rFonts w:ascii="Times New Roman" w:hAnsi="Times New Roman"/>
          <w:b/>
          <w:bCs/>
          <w:i/>
          <w:iCs/>
          <w:color w:val="000000" w:themeColor="text1"/>
        </w:rPr>
        <w:t>Flexi 2.0</w:t>
      </w:r>
    </w:p>
    <w:p w14:paraId="7AD0CFBD" w14:textId="77777777" w:rsidR="0007484B" w:rsidRDefault="006E7685" w:rsidP="0007484B">
      <w:pPr>
        <w:tabs>
          <w:tab w:val="left" w:pos="142"/>
        </w:tabs>
        <w:spacing w:line="240" w:lineRule="auto"/>
        <w:jc w:val="both"/>
        <w:rPr>
          <w:rFonts w:ascii="Times New Roman" w:hAnsi="Times New Roman"/>
          <w:color w:val="000000" w:themeColor="text1"/>
        </w:rPr>
      </w:pPr>
      <w:r w:rsidRPr="0007484B">
        <w:rPr>
          <w:rFonts w:ascii="Times New Roman" w:hAnsi="Times New Roman"/>
          <w:color w:val="000000" w:themeColor="text1"/>
        </w:rPr>
        <w:tab/>
      </w:r>
      <w:r w:rsidRPr="0007484B">
        <w:rPr>
          <w:rFonts w:ascii="Times New Roman" w:hAnsi="Times New Roman"/>
          <w:color w:val="000000" w:themeColor="text1"/>
        </w:rPr>
        <w:tab/>
      </w:r>
      <w:proofErr w:type="spellStart"/>
      <w:r w:rsidR="0007484B" w:rsidRPr="0007484B">
        <w:rPr>
          <w:rFonts w:ascii="Times New Roman" w:hAnsi="Times New Roman"/>
          <w:color w:val="000000" w:themeColor="text1"/>
        </w:rPr>
        <w:t>TechSolve</w:t>
      </w:r>
      <w:proofErr w:type="spellEnd"/>
      <w:r w:rsidR="0007484B" w:rsidRPr="0007484B">
        <w:rPr>
          <w:rFonts w:ascii="Times New Roman" w:hAnsi="Times New Roman"/>
          <w:color w:val="000000" w:themeColor="text1"/>
        </w:rPr>
        <w:t xml:space="preserve"> Innovations developed Flexi 2.0, a sophisticated flexible manufacturing system (FMS) designed to enhance production efficiency and streamline manufacturing processes. Contemporary automation, robotics, and data analytics technologies are integrated to establish a versatile manufacturing ecosystem capable of adapting to fluctuating production requirements and optimizing resource utilization. Flexi 2.0's adaptable and modular architecture allows producers to expand and modify their production capacity based on specific requirements. It accommodates a wide array of manufacturing processes across several sectors, such as consumer goods, automotive, aerospace, and electronics, encompassing machining, assembly, inspection, and packaging.</w:t>
      </w:r>
    </w:p>
    <w:p w14:paraId="38724CD5" w14:textId="20C3BC3F" w:rsidR="006E7685" w:rsidRPr="0007484B" w:rsidRDefault="0007484B" w:rsidP="0007484B">
      <w:pPr>
        <w:tabs>
          <w:tab w:val="left" w:pos="142"/>
        </w:tabs>
        <w:spacing w:line="240" w:lineRule="auto"/>
        <w:jc w:val="both"/>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sidRPr="0007484B">
        <w:rPr>
          <w:rFonts w:ascii="Times New Roman" w:hAnsi="Times New Roman"/>
          <w:i/>
          <w:iCs/>
          <w:color w:val="000000" w:themeColor="text1"/>
        </w:rPr>
        <w:t>Validation:</w:t>
      </w:r>
      <w:r w:rsidRPr="0007484B">
        <w:rPr>
          <w:rFonts w:ascii="Times New Roman" w:hAnsi="Times New Roman"/>
          <w:color w:val="000000" w:themeColor="text1"/>
        </w:rPr>
        <w:t xml:space="preserve"> </w:t>
      </w:r>
      <w:proofErr w:type="spellStart"/>
      <w:r w:rsidRPr="0007484B">
        <w:rPr>
          <w:rFonts w:ascii="Times New Roman" w:hAnsi="Times New Roman"/>
          <w:color w:val="000000" w:themeColor="text1"/>
        </w:rPr>
        <w:t>TechSolve</w:t>
      </w:r>
      <w:proofErr w:type="spellEnd"/>
      <w:r w:rsidRPr="0007484B">
        <w:rPr>
          <w:rFonts w:ascii="Times New Roman" w:hAnsi="Times New Roman"/>
          <w:color w:val="000000" w:themeColor="text1"/>
        </w:rPr>
        <w:t xml:space="preserve"> Innovations employs a comprehensive validation methodology to ensure the performance, reliability, and safety of Flexi 2.0. This involves design verification through structural analysis and prototype testing to meet industry standards, legal requirements, and customer specifications. Functional testing assesses the performance of Flexi 2.0 under various production situations, while safety certification ensures compliance with worldwide standards through the validation of safety features and risk assessments. Performance parameters, including cycle time and throughput, are measured against benchmarks in practical performance assessment. To enhance the usability and efficacy of Flexi 2.0 based on feedback, user acceptance testing incorporates end users in pilot production runs. This guarantees that Flexi 2.0 effectively meets manufacturing requirements.</w:t>
      </w:r>
    </w:p>
    <w:p w14:paraId="1026F148" w14:textId="63337F22" w:rsidR="00BC4D19" w:rsidRPr="00F21E16" w:rsidRDefault="00BC4D19" w:rsidP="00BC4D19">
      <w:pPr>
        <w:pStyle w:val="E-JournalHeading1"/>
        <w:rPr>
          <w:bCs/>
          <w:i/>
          <w:iCs/>
          <w:color w:val="70AD47" w:themeColor="accent6"/>
          <w:szCs w:val="24"/>
          <w:lang w:val="id-ID"/>
        </w:rPr>
      </w:pPr>
      <w:r w:rsidRPr="00F21E16">
        <w:rPr>
          <w:bCs/>
          <w:i/>
          <w:iCs/>
          <w:color w:val="70AD47" w:themeColor="accent6"/>
          <w:szCs w:val="24"/>
          <w:lang w:val="id-ID"/>
        </w:rPr>
        <w:t xml:space="preserve">Data </w:t>
      </w:r>
      <w:r w:rsidR="00105454">
        <w:rPr>
          <w:bCs/>
          <w:i/>
          <w:iCs/>
          <w:color w:val="70AD47" w:themeColor="accent6"/>
          <w:szCs w:val="24"/>
          <w:lang w:val="id-ID"/>
        </w:rPr>
        <w:t>A</w:t>
      </w:r>
      <w:r w:rsidRPr="00F21E16">
        <w:rPr>
          <w:bCs/>
          <w:i/>
          <w:iCs/>
          <w:color w:val="70AD47" w:themeColor="accent6"/>
          <w:szCs w:val="24"/>
          <w:lang w:val="id-ID"/>
        </w:rPr>
        <w:t>nalysis</w:t>
      </w:r>
    </w:p>
    <w:p w14:paraId="7751A974" w14:textId="77777777" w:rsidR="00A954C7" w:rsidRDefault="006E7685" w:rsidP="00A954C7">
      <w:pPr>
        <w:tabs>
          <w:tab w:val="left" w:pos="142"/>
        </w:tabs>
        <w:spacing w:line="240" w:lineRule="auto"/>
        <w:jc w:val="both"/>
        <w:rPr>
          <w:rFonts w:ascii="Times New Roman" w:hAnsi="Times New Roman"/>
          <w:color w:val="000000" w:themeColor="text1"/>
        </w:rPr>
      </w:pPr>
      <w:r w:rsidRPr="006E7685">
        <w:rPr>
          <w:rFonts w:ascii="Times New Roman" w:hAnsi="Times New Roman"/>
          <w:color w:val="000000" w:themeColor="text1"/>
        </w:rPr>
        <w:t>In answering the research problems posed, the following data analysis techniques were used:</w:t>
      </w:r>
    </w:p>
    <w:p w14:paraId="6C63BFBC" w14:textId="03E09758" w:rsidR="00A954C7" w:rsidRPr="00A954C7" w:rsidRDefault="00A954C7" w:rsidP="00A954C7">
      <w:pPr>
        <w:tabs>
          <w:tab w:val="left" w:pos="142"/>
        </w:tabs>
        <w:spacing w:line="240" w:lineRule="auto"/>
        <w:jc w:val="both"/>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sidRPr="00A954C7">
        <w:rPr>
          <w:rFonts w:ascii="Times New Roman" w:hAnsi="Times New Roman"/>
          <w:color w:val="000000" w:themeColor="text1"/>
        </w:rPr>
        <w:t>The learners' performance was assessed before and after utilizing the two AI-powered math tutors (MathGPT and Flexi 2.0) by frequency and mean score analysis, interpreted using the specified interval.</w:t>
      </w:r>
    </w:p>
    <w:p w14:paraId="2F8A956E" w14:textId="5E83FBA7" w:rsidR="006E7685" w:rsidRPr="006E7685" w:rsidRDefault="006E7685" w:rsidP="00A954C7">
      <w:pPr>
        <w:pStyle w:val="ListParagraph"/>
        <w:spacing w:after="0" w:line="240" w:lineRule="auto"/>
        <w:jc w:val="both"/>
        <w:rPr>
          <w:rFonts w:ascii="Times New Roman" w:hAnsi="Times New Roman"/>
          <w:b/>
          <w:bCs/>
          <w:color w:val="000000" w:themeColor="text1"/>
        </w:rPr>
      </w:pPr>
      <w:r w:rsidRPr="006E7685">
        <w:rPr>
          <w:rFonts w:ascii="Times New Roman" w:hAnsi="Times New Roman"/>
          <w:b/>
          <w:bCs/>
          <w:color w:val="000000" w:themeColor="text1"/>
        </w:rPr>
        <w:t>Interval</w:t>
      </w:r>
      <w:r w:rsidRPr="006E7685">
        <w:rPr>
          <w:rFonts w:ascii="Times New Roman" w:hAnsi="Times New Roman"/>
          <w:b/>
          <w:bCs/>
          <w:color w:val="000000" w:themeColor="text1"/>
        </w:rPr>
        <w:tab/>
      </w:r>
      <w:r w:rsidRPr="006E7685">
        <w:rPr>
          <w:rFonts w:ascii="Times New Roman" w:hAnsi="Times New Roman"/>
          <w:b/>
          <w:bCs/>
          <w:color w:val="000000" w:themeColor="text1"/>
        </w:rPr>
        <w:tab/>
      </w:r>
      <w:r w:rsidRPr="006E7685">
        <w:rPr>
          <w:rFonts w:ascii="Times New Roman" w:hAnsi="Times New Roman"/>
          <w:b/>
          <w:bCs/>
          <w:color w:val="000000" w:themeColor="text1"/>
        </w:rPr>
        <w:tab/>
      </w:r>
      <w:r w:rsidRPr="006E7685">
        <w:rPr>
          <w:rFonts w:ascii="Times New Roman" w:hAnsi="Times New Roman"/>
          <w:b/>
          <w:bCs/>
          <w:color w:val="000000" w:themeColor="text1"/>
        </w:rPr>
        <w:tab/>
        <w:t>Verbal Interpretation</w:t>
      </w:r>
    </w:p>
    <w:p w14:paraId="72937393" w14:textId="77777777" w:rsidR="006E7685" w:rsidRPr="006E7685" w:rsidRDefault="006E7685" w:rsidP="006E7685">
      <w:pPr>
        <w:pStyle w:val="ListParagraph"/>
        <w:spacing w:after="0" w:line="240" w:lineRule="auto"/>
        <w:jc w:val="both"/>
        <w:rPr>
          <w:rFonts w:ascii="Times New Roman" w:hAnsi="Times New Roman"/>
          <w:color w:val="000000" w:themeColor="text1"/>
        </w:rPr>
      </w:pPr>
      <w:r w:rsidRPr="006E7685">
        <w:rPr>
          <w:rFonts w:ascii="Times New Roman" w:hAnsi="Times New Roman"/>
          <w:color w:val="000000" w:themeColor="text1"/>
        </w:rPr>
        <w:t>32.01 – 40.00</w:t>
      </w:r>
      <w:r w:rsidRPr="006E7685">
        <w:rPr>
          <w:rFonts w:ascii="Times New Roman" w:hAnsi="Times New Roman"/>
          <w:color w:val="000000" w:themeColor="text1"/>
        </w:rPr>
        <w:tab/>
      </w:r>
      <w:r w:rsidRPr="006E7685">
        <w:rPr>
          <w:rFonts w:ascii="Times New Roman" w:hAnsi="Times New Roman"/>
          <w:color w:val="000000" w:themeColor="text1"/>
        </w:rPr>
        <w:tab/>
      </w:r>
      <w:r w:rsidRPr="006E7685">
        <w:rPr>
          <w:rFonts w:ascii="Times New Roman" w:hAnsi="Times New Roman"/>
          <w:color w:val="000000" w:themeColor="text1"/>
        </w:rPr>
        <w:tab/>
        <w:t>Excellent</w:t>
      </w:r>
    </w:p>
    <w:p w14:paraId="1DC5CDB5" w14:textId="77777777" w:rsidR="006E7685" w:rsidRPr="006E7685" w:rsidRDefault="006E7685" w:rsidP="006E7685">
      <w:pPr>
        <w:pStyle w:val="ListParagraph"/>
        <w:spacing w:after="0" w:line="240" w:lineRule="auto"/>
        <w:jc w:val="both"/>
        <w:rPr>
          <w:rFonts w:ascii="Times New Roman" w:hAnsi="Times New Roman"/>
          <w:color w:val="000000" w:themeColor="text1"/>
        </w:rPr>
      </w:pPr>
      <w:r w:rsidRPr="006E7685">
        <w:rPr>
          <w:rFonts w:ascii="Times New Roman" w:hAnsi="Times New Roman"/>
          <w:color w:val="000000" w:themeColor="text1"/>
        </w:rPr>
        <w:t>24.01 – 32.00</w:t>
      </w:r>
      <w:r w:rsidRPr="006E7685">
        <w:rPr>
          <w:rFonts w:ascii="Times New Roman" w:hAnsi="Times New Roman"/>
          <w:color w:val="000000" w:themeColor="text1"/>
        </w:rPr>
        <w:tab/>
      </w:r>
      <w:r w:rsidRPr="006E7685">
        <w:rPr>
          <w:rFonts w:ascii="Times New Roman" w:hAnsi="Times New Roman"/>
          <w:color w:val="000000" w:themeColor="text1"/>
        </w:rPr>
        <w:tab/>
      </w:r>
      <w:r w:rsidRPr="006E7685">
        <w:rPr>
          <w:rFonts w:ascii="Times New Roman" w:hAnsi="Times New Roman"/>
          <w:color w:val="000000" w:themeColor="text1"/>
        </w:rPr>
        <w:tab/>
        <w:t>Very satisfactory</w:t>
      </w:r>
    </w:p>
    <w:p w14:paraId="4871639B" w14:textId="77777777" w:rsidR="006E7685" w:rsidRPr="006E7685" w:rsidRDefault="006E7685" w:rsidP="006E7685">
      <w:pPr>
        <w:pStyle w:val="ListParagraph"/>
        <w:spacing w:after="0" w:line="240" w:lineRule="auto"/>
        <w:jc w:val="both"/>
        <w:rPr>
          <w:rFonts w:ascii="Times New Roman" w:hAnsi="Times New Roman"/>
          <w:color w:val="000000" w:themeColor="text1"/>
        </w:rPr>
      </w:pPr>
      <w:r w:rsidRPr="006E7685">
        <w:rPr>
          <w:rFonts w:ascii="Times New Roman" w:hAnsi="Times New Roman"/>
          <w:color w:val="000000" w:themeColor="text1"/>
        </w:rPr>
        <w:t>16.01 – 24.00</w:t>
      </w:r>
      <w:r w:rsidRPr="006E7685">
        <w:rPr>
          <w:rFonts w:ascii="Times New Roman" w:hAnsi="Times New Roman"/>
          <w:color w:val="000000" w:themeColor="text1"/>
        </w:rPr>
        <w:tab/>
      </w:r>
      <w:r w:rsidRPr="006E7685">
        <w:rPr>
          <w:rFonts w:ascii="Times New Roman" w:hAnsi="Times New Roman"/>
          <w:color w:val="000000" w:themeColor="text1"/>
        </w:rPr>
        <w:tab/>
      </w:r>
      <w:r w:rsidRPr="006E7685">
        <w:rPr>
          <w:rFonts w:ascii="Times New Roman" w:hAnsi="Times New Roman"/>
          <w:color w:val="000000" w:themeColor="text1"/>
        </w:rPr>
        <w:tab/>
        <w:t>Satisfactory</w:t>
      </w:r>
    </w:p>
    <w:p w14:paraId="41071CC2" w14:textId="77777777" w:rsidR="006E7685" w:rsidRPr="006E7685" w:rsidRDefault="006E7685" w:rsidP="006E7685">
      <w:pPr>
        <w:pStyle w:val="ListParagraph"/>
        <w:spacing w:after="0" w:line="240" w:lineRule="auto"/>
        <w:jc w:val="both"/>
        <w:rPr>
          <w:rFonts w:ascii="Times New Roman" w:hAnsi="Times New Roman"/>
          <w:color w:val="000000" w:themeColor="text1"/>
        </w:rPr>
      </w:pPr>
      <w:r w:rsidRPr="006E7685">
        <w:rPr>
          <w:rFonts w:ascii="Times New Roman" w:hAnsi="Times New Roman"/>
          <w:color w:val="000000" w:themeColor="text1"/>
        </w:rPr>
        <w:t>8.01 – 16.00</w:t>
      </w:r>
      <w:r w:rsidRPr="006E7685">
        <w:rPr>
          <w:rFonts w:ascii="Times New Roman" w:hAnsi="Times New Roman"/>
          <w:color w:val="000000" w:themeColor="text1"/>
        </w:rPr>
        <w:tab/>
      </w:r>
      <w:r w:rsidRPr="006E7685">
        <w:rPr>
          <w:rFonts w:ascii="Times New Roman" w:hAnsi="Times New Roman"/>
          <w:color w:val="000000" w:themeColor="text1"/>
        </w:rPr>
        <w:tab/>
      </w:r>
      <w:r w:rsidRPr="006E7685">
        <w:rPr>
          <w:rFonts w:ascii="Times New Roman" w:hAnsi="Times New Roman"/>
          <w:color w:val="000000" w:themeColor="text1"/>
        </w:rPr>
        <w:tab/>
        <w:t>Fair</w:t>
      </w:r>
    </w:p>
    <w:p w14:paraId="48E70416" w14:textId="77777777" w:rsidR="006E7685" w:rsidRPr="006E7685" w:rsidRDefault="006E7685" w:rsidP="006E7685">
      <w:pPr>
        <w:pStyle w:val="ListParagraph"/>
        <w:spacing w:after="0" w:line="240" w:lineRule="auto"/>
        <w:jc w:val="both"/>
        <w:rPr>
          <w:rFonts w:ascii="Times New Roman" w:hAnsi="Times New Roman"/>
          <w:color w:val="000000" w:themeColor="text1"/>
        </w:rPr>
      </w:pPr>
      <w:r w:rsidRPr="006E7685">
        <w:rPr>
          <w:rFonts w:ascii="Times New Roman" w:hAnsi="Times New Roman"/>
          <w:color w:val="000000" w:themeColor="text1"/>
        </w:rPr>
        <w:t>0.00 – 8.00</w:t>
      </w:r>
      <w:r w:rsidRPr="006E7685">
        <w:rPr>
          <w:rFonts w:ascii="Times New Roman" w:hAnsi="Times New Roman"/>
          <w:color w:val="000000" w:themeColor="text1"/>
        </w:rPr>
        <w:tab/>
      </w:r>
      <w:r w:rsidRPr="006E7685">
        <w:rPr>
          <w:rFonts w:ascii="Times New Roman" w:hAnsi="Times New Roman"/>
          <w:color w:val="000000" w:themeColor="text1"/>
        </w:rPr>
        <w:tab/>
      </w:r>
      <w:r w:rsidRPr="006E7685">
        <w:rPr>
          <w:rFonts w:ascii="Times New Roman" w:hAnsi="Times New Roman"/>
          <w:color w:val="000000" w:themeColor="text1"/>
        </w:rPr>
        <w:tab/>
        <w:t>Needs improvement</w:t>
      </w:r>
    </w:p>
    <w:p w14:paraId="61949004" w14:textId="77777777" w:rsidR="006E7685" w:rsidRDefault="006E7685" w:rsidP="00A954C7">
      <w:pPr>
        <w:autoSpaceDE w:val="0"/>
        <w:autoSpaceDN w:val="0"/>
        <w:adjustRightInd w:val="0"/>
        <w:spacing w:after="0" w:line="240" w:lineRule="auto"/>
        <w:jc w:val="both"/>
        <w:rPr>
          <w:rFonts w:ascii="Times New Roman" w:hAnsi="Times New Roman"/>
          <w:color w:val="000000" w:themeColor="text1"/>
        </w:rPr>
      </w:pPr>
    </w:p>
    <w:p w14:paraId="2FBAEA44" w14:textId="30B9FA1C" w:rsidR="00A954C7" w:rsidRPr="00A954C7" w:rsidRDefault="00A954C7" w:rsidP="00A954C7">
      <w:pPr>
        <w:autoSpaceDE w:val="0"/>
        <w:autoSpaceDN w:val="0"/>
        <w:adjustRightInd w:val="0"/>
        <w:spacing w:after="0" w:line="240" w:lineRule="auto"/>
        <w:ind w:firstLine="720"/>
        <w:jc w:val="both"/>
        <w:rPr>
          <w:rFonts w:ascii="Times New Roman" w:hAnsi="Times New Roman"/>
          <w:color w:val="000000" w:themeColor="text1"/>
        </w:rPr>
      </w:pPr>
      <w:r w:rsidRPr="00A954C7">
        <w:rPr>
          <w:rFonts w:ascii="Times New Roman" w:hAnsi="Times New Roman"/>
          <w:color w:val="000000" w:themeColor="text1"/>
        </w:rPr>
        <w:t xml:space="preserve">Diverse statistical methodologies were utilized to analyze the data. A paired sample t-test was conducted to assess whether a significant difference existed in the performance of learners in both groups prior to and following the implementation of the two unique AI-powered math tutors. An independent sample t-test was used to evaluate the significant difference in learner performance between the two groups following the utilization of AI-powered math instructors. Finally, thematic analysis was conducted utilizing </w:t>
      </w:r>
      <w:proofErr w:type="spellStart"/>
      <w:r w:rsidRPr="00A954C7">
        <w:rPr>
          <w:rFonts w:ascii="Times New Roman" w:hAnsi="Times New Roman"/>
          <w:color w:val="000000" w:themeColor="text1"/>
        </w:rPr>
        <w:t>Collaizzi’s</w:t>
      </w:r>
      <w:proofErr w:type="spellEnd"/>
      <w:r w:rsidRPr="00A954C7">
        <w:rPr>
          <w:rFonts w:ascii="Times New Roman" w:hAnsi="Times New Roman"/>
          <w:color w:val="000000" w:themeColor="text1"/>
        </w:rPr>
        <w:t xml:space="preserve"> Method to investigate the obstacles faced by learners and to find potential in the use of </w:t>
      </w:r>
      <w:proofErr w:type="spellStart"/>
      <w:r w:rsidRPr="00A954C7">
        <w:rPr>
          <w:rFonts w:ascii="Times New Roman" w:hAnsi="Times New Roman"/>
          <w:color w:val="000000" w:themeColor="text1"/>
        </w:rPr>
        <w:t>MathGPT</w:t>
      </w:r>
      <w:proofErr w:type="spellEnd"/>
      <w:r w:rsidRPr="00A954C7">
        <w:rPr>
          <w:rFonts w:ascii="Times New Roman" w:hAnsi="Times New Roman"/>
          <w:color w:val="000000" w:themeColor="text1"/>
        </w:rPr>
        <w:t xml:space="preserve"> and Flexi 2.0.</w:t>
      </w:r>
    </w:p>
    <w:p w14:paraId="7FCCFDC3" w14:textId="77777777" w:rsidR="009626BB" w:rsidRDefault="009626BB" w:rsidP="00BC4D19">
      <w:pPr>
        <w:pStyle w:val="E-JournalHeading1"/>
        <w:jc w:val="both"/>
        <w:rPr>
          <w:color w:val="70AD47" w:themeColor="accent6"/>
        </w:rPr>
      </w:pPr>
    </w:p>
    <w:p w14:paraId="7DEE6172" w14:textId="77777777" w:rsidR="00731AA5" w:rsidRDefault="00731AA5">
      <w:pPr>
        <w:rPr>
          <w:rFonts w:ascii="Times New Roman" w:hAnsi="Times New Roman"/>
          <w:b/>
          <w:color w:val="70AD47" w:themeColor="accent6"/>
        </w:rPr>
      </w:pPr>
      <w:r>
        <w:rPr>
          <w:color w:val="70AD47" w:themeColor="accent6"/>
        </w:rPr>
        <w:br w:type="page"/>
      </w:r>
    </w:p>
    <w:p w14:paraId="52F93FFD" w14:textId="43C52A23" w:rsidR="00BC4D19" w:rsidRPr="00F860A5" w:rsidRDefault="00BC4D19" w:rsidP="00BC4D19">
      <w:pPr>
        <w:pStyle w:val="E-JournalHeading1"/>
        <w:jc w:val="both"/>
        <w:rPr>
          <w:color w:val="70AD47" w:themeColor="accent6"/>
        </w:rPr>
      </w:pPr>
      <w:r w:rsidRPr="00F860A5">
        <w:rPr>
          <w:color w:val="70AD47" w:themeColor="accent6"/>
        </w:rPr>
        <w:t>RESULTS AND DISCUSSION</w:t>
      </w:r>
    </w:p>
    <w:p w14:paraId="05E26E28" w14:textId="77777777" w:rsidR="006E7685" w:rsidRPr="006E7685" w:rsidRDefault="006E7685" w:rsidP="006E7685">
      <w:pPr>
        <w:pStyle w:val="ListParagraph"/>
        <w:numPr>
          <w:ilvl w:val="0"/>
          <w:numId w:val="20"/>
        </w:numPr>
        <w:tabs>
          <w:tab w:val="left" w:pos="142"/>
          <w:tab w:val="left" w:pos="720"/>
        </w:tabs>
        <w:spacing w:after="160" w:line="240" w:lineRule="auto"/>
        <w:jc w:val="both"/>
        <w:rPr>
          <w:rFonts w:ascii="Times New Roman" w:hAnsi="Times New Roman"/>
          <w:b/>
          <w:color w:val="000000" w:themeColor="text1"/>
        </w:rPr>
      </w:pPr>
      <w:r w:rsidRPr="006E7685">
        <w:rPr>
          <w:rFonts w:ascii="Times New Roman" w:hAnsi="Times New Roman"/>
          <w:b/>
          <w:color w:val="000000" w:themeColor="text1"/>
        </w:rPr>
        <w:t xml:space="preserve">Pre – Test Results of </w:t>
      </w:r>
      <w:bookmarkStart w:id="1" w:name="_Hlk163940779"/>
      <w:r w:rsidRPr="006E7685">
        <w:rPr>
          <w:rFonts w:ascii="Times New Roman" w:hAnsi="Times New Roman"/>
          <w:b/>
          <w:color w:val="000000" w:themeColor="text1"/>
        </w:rPr>
        <w:t xml:space="preserve">Teacher – Made Test in Calculus </w:t>
      </w:r>
      <w:bookmarkEnd w:id="1"/>
    </w:p>
    <w:p w14:paraId="5AA8B7E4" w14:textId="52247D36" w:rsidR="006E7685" w:rsidRPr="00731AA5" w:rsidRDefault="006E7685" w:rsidP="00731AA5">
      <w:pPr>
        <w:tabs>
          <w:tab w:val="left" w:pos="142"/>
          <w:tab w:val="left" w:pos="720"/>
        </w:tabs>
        <w:spacing w:after="0" w:line="240" w:lineRule="auto"/>
        <w:jc w:val="center"/>
        <w:rPr>
          <w:rFonts w:ascii="Times New Roman" w:hAnsi="Times New Roman"/>
          <w:bCs/>
          <w:color w:val="000000" w:themeColor="text1"/>
        </w:rPr>
      </w:pPr>
      <w:r w:rsidRPr="00731AA5">
        <w:rPr>
          <w:rFonts w:ascii="Times New Roman" w:hAnsi="Times New Roman"/>
          <w:bCs/>
          <w:color w:val="000000" w:themeColor="text1"/>
        </w:rPr>
        <w:t>Table 1</w:t>
      </w:r>
      <w:r w:rsidR="00731AA5">
        <w:rPr>
          <w:rFonts w:ascii="Times New Roman" w:hAnsi="Times New Roman"/>
          <w:bCs/>
          <w:color w:val="000000" w:themeColor="text1"/>
        </w:rPr>
        <w:t xml:space="preserve">. </w:t>
      </w:r>
      <w:r w:rsidRPr="00731AA5">
        <w:rPr>
          <w:rFonts w:ascii="Times New Roman" w:hAnsi="Times New Roman"/>
          <w:bCs/>
          <w:color w:val="000000" w:themeColor="text1"/>
        </w:rPr>
        <w:t>T-test Results of the Teacher – Made Test in Calculus in the two groups before the experiment</w:t>
      </w:r>
    </w:p>
    <w:tbl>
      <w:tblPr>
        <w:tblW w:w="5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734"/>
        <w:gridCol w:w="1755"/>
      </w:tblGrid>
      <w:tr w:rsidR="006E7685" w:rsidRPr="00731AA5" w14:paraId="2293F3C3" w14:textId="77777777" w:rsidTr="00731AA5">
        <w:trPr>
          <w:trHeight w:val="256"/>
          <w:jc w:val="center"/>
        </w:trPr>
        <w:tc>
          <w:tcPr>
            <w:tcW w:w="2060" w:type="dxa"/>
            <w:tcBorders>
              <w:top w:val="single" w:sz="12" w:space="0" w:color="70AD47" w:themeColor="accent6"/>
              <w:left w:val="nil"/>
              <w:bottom w:val="single" w:sz="12" w:space="0" w:color="70AD47" w:themeColor="accent6"/>
              <w:right w:val="nil"/>
            </w:tcBorders>
            <w:noWrap/>
            <w:hideMark/>
          </w:tcPr>
          <w:p w14:paraId="15A3967B"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 </w:t>
            </w:r>
          </w:p>
        </w:tc>
        <w:tc>
          <w:tcPr>
            <w:tcW w:w="1734" w:type="dxa"/>
            <w:tcBorders>
              <w:top w:val="single" w:sz="12" w:space="0" w:color="70AD47" w:themeColor="accent6"/>
              <w:left w:val="nil"/>
              <w:bottom w:val="single" w:sz="12" w:space="0" w:color="70AD47" w:themeColor="accent6"/>
              <w:right w:val="nil"/>
            </w:tcBorders>
            <w:noWrap/>
            <w:hideMark/>
          </w:tcPr>
          <w:p w14:paraId="3FD0AF72" w14:textId="77777777" w:rsidR="006E7685" w:rsidRPr="00731AA5" w:rsidRDefault="006E7685" w:rsidP="00731AA5">
            <w:pPr>
              <w:spacing w:after="0" w:line="240" w:lineRule="auto"/>
              <w:rPr>
                <w:rFonts w:ascii="Times New Roman" w:hAnsi="Times New Roman"/>
                <w:color w:val="000000" w:themeColor="text1"/>
                <w:lang w:eastAsia="en-SG"/>
              </w:rPr>
            </w:pPr>
            <w:proofErr w:type="spellStart"/>
            <w:r w:rsidRPr="00731AA5">
              <w:rPr>
                <w:rFonts w:ascii="Times New Roman" w:hAnsi="Times New Roman"/>
                <w:color w:val="000000" w:themeColor="text1"/>
                <w:lang w:eastAsia="en-SG"/>
              </w:rPr>
              <w:t>MathGPT</w:t>
            </w:r>
            <w:proofErr w:type="spellEnd"/>
          </w:p>
        </w:tc>
        <w:tc>
          <w:tcPr>
            <w:tcW w:w="1755" w:type="dxa"/>
            <w:tcBorders>
              <w:top w:val="single" w:sz="12" w:space="0" w:color="70AD47" w:themeColor="accent6"/>
              <w:left w:val="nil"/>
              <w:bottom w:val="single" w:sz="12" w:space="0" w:color="70AD47" w:themeColor="accent6"/>
              <w:right w:val="nil"/>
            </w:tcBorders>
            <w:noWrap/>
            <w:hideMark/>
          </w:tcPr>
          <w:p w14:paraId="43E77C2F"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Flexi 2.0</w:t>
            </w:r>
          </w:p>
        </w:tc>
      </w:tr>
      <w:tr w:rsidR="006E7685" w:rsidRPr="00731AA5" w14:paraId="5F2A1BC2" w14:textId="77777777" w:rsidTr="00731AA5">
        <w:trPr>
          <w:trHeight w:val="256"/>
          <w:jc w:val="center"/>
        </w:trPr>
        <w:tc>
          <w:tcPr>
            <w:tcW w:w="2060" w:type="dxa"/>
            <w:tcBorders>
              <w:top w:val="single" w:sz="12" w:space="0" w:color="70AD47" w:themeColor="accent6"/>
              <w:left w:val="nil"/>
              <w:bottom w:val="nil"/>
              <w:right w:val="nil"/>
            </w:tcBorders>
            <w:noWrap/>
            <w:hideMark/>
          </w:tcPr>
          <w:p w14:paraId="20FB4DC4"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Mean</w:t>
            </w:r>
          </w:p>
        </w:tc>
        <w:tc>
          <w:tcPr>
            <w:tcW w:w="1734" w:type="dxa"/>
            <w:tcBorders>
              <w:top w:val="single" w:sz="12" w:space="0" w:color="70AD47" w:themeColor="accent6"/>
              <w:left w:val="nil"/>
              <w:bottom w:val="nil"/>
              <w:right w:val="nil"/>
            </w:tcBorders>
            <w:noWrap/>
            <w:hideMark/>
          </w:tcPr>
          <w:p w14:paraId="63E32E72"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12.70</w:t>
            </w:r>
          </w:p>
        </w:tc>
        <w:tc>
          <w:tcPr>
            <w:tcW w:w="1755" w:type="dxa"/>
            <w:tcBorders>
              <w:top w:val="single" w:sz="12" w:space="0" w:color="70AD47" w:themeColor="accent6"/>
              <w:left w:val="nil"/>
              <w:bottom w:val="nil"/>
              <w:right w:val="nil"/>
            </w:tcBorders>
            <w:noWrap/>
            <w:hideMark/>
          </w:tcPr>
          <w:p w14:paraId="1D79A7E1"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12.60</w:t>
            </w:r>
          </w:p>
        </w:tc>
      </w:tr>
      <w:tr w:rsidR="006E7685" w:rsidRPr="00731AA5" w14:paraId="3581B3C7" w14:textId="77777777" w:rsidTr="00731AA5">
        <w:trPr>
          <w:trHeight w:val="256"/>
          <w:jc w:val="center"/>
        </w:trPr>
        <w:tc>
          <w:tcPr>
            <w:tcW w:w="2060" w:type="dxa"/>
            <w:tcBorders>
              <w:top w:val="nil"/>
              <w:left w:val="nil"/>
              <w:bottom w:val="nil"/>
              <w:right w:val="nil"/>
            </w:tcBorders>
            <w:noWrap/>
            <w:hideMark/>
          </w:tcPr>
          <w:p w14:paraId="6D77C414"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Variance</w:t>
            </w:r>
          </w:p>
        </w:tc>
        <w:tc>
          <w:tcPr>
            <w:tcW w:w="1734" w:type="dxa"/>
            <w:tcBorders>
              <w:top w:val="nil"/>
              <w:left w:val="nil"/>
              <w:bottom w:val="nil"/>
              <w:right w:val="nil"/>
            </w:tcBorders>
            <w:noWrap/>
            <w:hideMark/>
          </w:tcPr>
          <w:p w14:paraId="26AA34F8"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16.233</w:t>
            </w:r>
          </w:p>
        </w:tc>
        <w:tc>
          <w:tcPr>
            <w:tcW w:w="1755" w:type="dxa"/>
            <w:tcBorders>
              <w:top w:val="nil"/>
              <w:left w:val="nil"/>
              <w:bottom w:val="nil"/>
              <w:right w:val="nil"/>
            </w:tcBorders>
            <w:noWrap/>
            <w:hideMark/>
          </w:tcPr>
          <w:p w14:paraId="6ABED1C0"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17.378</w:t>
            </w:r>
          </w:p>
        </w:tc>
      </w:tr>
      <w:tr w:rsidR="006E7685" w:rsidRPr="00731AA5" w14:paraId="7FA0D4F5" w14:textId="77777777" w:rsidTr="00731AA5">
        <w:trPr>
          <w:trHeight w:val="256"/>
          <w:jc w:val="center"/>
        </w:trPr>
        <w:tc>
          <w:tcPr>
            <w:tcW w:w="2060" w:type="dxa"/>
            <w:tcBorders>
              <w:top w:val="nil"/>
              <w:left w:val="nil"/>
              <w:bottom w:val="nil"/>
              <w:right w:val="nil"/>
            </w:tcBorders>
            <w:noWrap/>
            <w:hideMark/>
          </w:tcPr>
          <w:p w14:paraId="4BDAAAE4" w14:textId="77777777" w:rsidR="006E7685" w:rsidRPr="00731AA5" w:rsidRDefault="006E7685" w:rsidP="00731AA5">
            <w:pPr>
              <w:spacing w:after="0" w:line="240" w:lineRule="auto"/>
              <w:rPr>
                <w:rFonts w:ascii="Times New Roman" w:hAnsi="Times New Roman"/>
                <w:color w:val="000000" w:themeColor="text1"/>
                <w:lang w:eastAsia="en-SG"/>
              </w:rPr>
            </w:pPr>
            <w:proofErr w:type="spellStart"/>
            <w:r w:rsidRPr="00731AA5">
              <w:rPr>
                <w:rFonts w:ascii="Times New Roman" w:hAnsi="Times New Roman"/>
                <w:color w:val="000000" w:themeColor="text1"/>
                <w:lang w:eastAsia="en-SG"/>
              </w:rPr>
              <w:t>Df</w:t>
            </w:r>
            <w:proofErr w:type="spellEnd"/>
          </w:p>
        </w:tc>
        <w:tc>
          <w:tcPr>
            <w:tcW w:w="1734" w:type="dxa"/>
            <w:tcBorders>
              <w:top w:val="nil"/>
              <w:left w:val="nil"/>
              <w:bottom w:val="nil"/>
              <w:right w:val="nil"/>
            </w:tcBorders>
            <w:noWrap/>
            <w:hideMark/>
          </w:tcPr>
          <w:p w14:paraId="1EDABF40"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10</w:t>
            </w:r>
          </w:p>
        </w:tc>
        <w:tc>
          <w:tcPr>
            <w:tcW w:w="1755" w:type="dxa"/>
            <w:tcBorders>
              <w:top w:val="nil"/>
              <w:left w:val="nil"/>
              <w:bottom w:val="nil"/>
              <w:right w:val="nil"/>
            </w:tcBorders>
            <w:noWrap/>
            <w:hideMark/>
          </w:tcPr>
          <w:p w14:paraId="48E7CC99"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10</w:t>
            </w:r>
          </w:p>
        </w:tc>
      </w:tr>
      <w:tr w:rsidR="006E7685" w:rsidRPr="00731AA5" w14:paraId="0B7C7573" w14:textId="77777777" w:rsidTr="00731AA5">
        <w:trPr>
          <w:trHeight w:val="256"/>
          <w:jc w:val="center"/>
        </w:trPr>
        <w:tc>
          <w:tcPr>
            <w:tcW w:w="2060" w:type="dxa"/>
            <w:tcBorders>
              <w:top w:val="nil"/>
              <w:left w:val="nil"/>
              <w:bottom w:val="nil"/>
              <w:right w:val="nil"/>
            </w:tcBorders>
            <w:noWrap/>
            <w:hideMark/>
          </w:tcPr>
          <w:p w14:paraId="5816B0DD"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level of confidence</w:t>
            </w:r>
          </w:p>
        </w:tc>
        <w:tc>
          <w:tcPr>
            <w:tcW w:w="3489" w:type="dxa"/>
            <w:gridSpan w:val="2"/>
            <w:tcBorders>
              <w:top w:val="nil"/>
              <w:left w:val="nil"/>
              <w:bottom w:val="nil"/>
              <w:right w:val="nil"/>
            </w:tcBorders>
            <w:noWrap/>
            <w:hideMark/>
          </w:tcPr>
          <w:p w14:paraId="798C03D8"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5%, two-tailed</w:t>
            </w:r>
          </w:p>
        </w:tc>
      </w:tr>
      <w:tr w:rsidR="006E7685" w:rsidRPr="00731AA5" w14:paraId="4E68F75A" w14:textId="77777777" w:rsidTr="00731AA5">
        <w:trPr>
          <w:trHeight w:val="256"/>
          <w:jc w:val="center"/>
        </w:trPr>
        <w:tc>
          <w:tcPr>
            <w:tcW w:w="2060" w:type="dxa"/>
            <w:tcBorders>
              <w:top w:val="nil"/>
              <w:left w:val="nil"/>
              <w:bottom w:val="nil"/>
              <w:right w:val="nil"/>
            </w:tcBorders>
            <w:noWrap/>
            <w:hideMark/>
          </w:tcPr>
          <w:p w14:paraId="40B2798B"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t-crit</w:t>
            </w:r>
          </w:p>
        </w:tc>
        <w:tc>
          <w:tcPr>
            <w:tcW w:w="3489" w:type="dxa"/>
            <w:gridSpan w:val="2"/>
            <w:tcBorders>
              <w:top w:val="nil"/>
              <w:left w:val="nil"/>
              <w:bottom w:val="nil"/>
              <w:right w:val="nil"/>
            </w:tcBorders>
            <w:noWrap/>
            <w:hideMark/>
          </w:tcPr>
          <w:p w14:paraId="19EDAF40"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2.100</w:t>
            </w:r>
          </w:p>
        </w:tc>
      </w:tr>
      <w:tr w:rsidR="006E7685" w:rsidRPr="00731AA5" w14:paraId="2BB40595" w14:textId="77777777" w:rsidTr="00731AA5">
        <w:trPr>
          <w:trHeight w:val="256"/>
          <w:jc w:val="center"/>
        </w:trPr>
        <w:tc>
          <w:tcPr>
            <w:tcW w:w="2060" w:type="dxa"/>
            <w:tcBorders>
              <w:top w:val="nil"/>
              <w:left w:val="nil"/>
              <w:bottom w:val="nil"/>
              <w:right w:val="nil"/>
            </w:tcBorders>
            <w:noWrap/>
            <w:hideMark/>
          </w:tcPr>
          <w:p w14:paraId="2BE60E04"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t-comp</w:t>
            </w:r>
          </w:p>
        </w:tc>
        <w:tc>
          <w:tcPr>
            <w:tcW w:w="3489" w:type="dxa"/>
            <w:gridSpan w:val="2"/>
            <w:tcBorders>
              <w:top w:val="nil"/>
              <w:left w:val="nil"/>
              <w:bottom w:val="nil"/>
              <w:right w:val="nil"/>
            </w:tcBorders>
            <w:noWrap/>
            <w:hideMark/>
          </w:tcPr>
          <w:p w14:paraId="33B46C85"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0.055</w:t>
            </w:r>
          </w:p>
        </w:tc>
      </w:tr>
      <w:tr w:rsidR="006E7685" w:rsidRPr="00731AA5" w14:paraId="5F92843B" w14:textId="77777777" w:rsidTr="00731AA5">
        <w:trPr>
          <w:trHeight w:val="256"/>
          <w:jc w:val="center"/>
        </w:trPr>
        <w:tc>
          <w:tcPr>
            <w:tcW w:w="2060" w:type="dxa"/>
            <w:tcBorders>
              <w:top w:val="nil"/>
              <w:left w:val="nil"/>
              <w:bottom w:val="single" w:sz="12" w:space="0" w:color="70AD47" w:themeColor="accent6"/>
              <w:right w:val="nil"/>
            </w:tcBorders>
            <w:noWrap/>
            <w:hideMark/>
          </w:tcPr>
          <w:p w14:paraId="3446E1BF"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Decision</w:t>
            </w:r>
          </w:p>
        </w:tc>
        <w:tc>
          <w:tcPr>
            <w:tcW w:w="3489" w:type="dxa"/>
            <w:gridSpan w:val="2"/>
            <w:tcBorders>
              <w:top w:val="nil"/>
              <w:left w:val="nil"/>
              <w:bottom w:val="single" w:sz="12" w:space="0" w:color="70AD47" w:themeColor="accent6"/>
              <w:right w:val="nil"/>
            </w:tcBorders>
            <w:noWrap/>
            <w:hideMark/>
          </w:tcPr>
          <w:p w14:paraId="1E4F3434"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Accept Ho</w:t>
            </w:r>
          </w:p>
        </w:tc>
      </w:tr>
      <w:tr w:rsidR="006E7685" w:rsidRPr="00731AA5" w14:paraId="5F1A3316" w14:textId="77777777" w:rsidTr="00731AA5">
        <w:trPr>
          <w:trHeight w:val="275"/>
          <w:jc w:val="center"/>
        </w:trPr>
        <w:tc>
          <w:tcPr>
            <w:tcW w:w="2060" w:type="dxa"/>
            <w:tcBorders>
              <w:top w:val="single" w:sz="12" w:space="0" w:color="70AD47" w:themeColor="accent6"/>
              <w:left w:val="nil"/>
              <w:bottom w:val="single" w:sz="12" w:space="0" w:color="70AD47" w:themeColor="accent6"/>
              <w:right w:val="nil"/>
            </w:tcBorders>
            <w:noWrap/>
            <w:hideMark/>
          </w:tcPr>
          <w:p w14:paraId="12E7C75E"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Interpretation</w:t>
            </w:r>
          </w:p>
        </w:tc>
        <w:tc>
          <w:tcPr>
            <w:tcW w:w="3489" w:type="dxa"/>
            <w:gridSpan w:val="2"/>
            <w:tcBorders>
              <w:top w:val="single" w:sz="12" w:space="0" w:color="70AD47" w:themeColor="accent6"/>
              <w:left w:val="nil"/>
              <w:bottom w:val="single" w:sz="12" w:space="0" w:color="70AD47" w:themeColor="accent6"/>
              <w:right w:val="nil"/>
            </w:tcBorders>
            <w:noWrap/>
            <w:hideMark/>
          </w:tcPr>
          <w:p w14:paraId="60D82542"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Not Significant</w:t>
            </w:r>
          </w:p>
        </w:tc>
      </w:tr>
    </w:tbl>
    <w:p w14:paraId="1B3C7A9B" w14:textId="77777777" w:rsidR="00731AA5" w:rsidRDefault="00731AA5" w:rsidP="00731AA5">
      <w:pPr>
        <w:tabs>
          <w:tab w:val="left" w:pos="0"/>
          <w:tab w:val="left" w:pos="720"/>
        </w:tabs>
        <w:spacing w:after="0" w:line="240" w:lineRule="auto"/>
        <w:jc w:val="both"/>
        <w:rPr>
          <w:rFonts w:ascii="Times New Roman" w:hAnsi="Times New Roman"/>
          <w:color w:val="000000" w:themeColor="text1"/>
        </w:rPr>
      </w:pPr>
    </w:p>
    <w:p w14:paraId="0CBBCE5B" w14:textId="689AF1D6" w:rsidR="00637324" w:rsidRDefault="006E7685" w:rsidP="00637324">
      <w:pPr>
        <w:tabs>
          <w:tab w:val="left" w:pos="0"/>
          <w:tab w:val="left" w:pos="720"/>
        </w:tabs>
        <w:spacing w:line="240" w:lineRule="auto"/>
        <w:jc w:val="both"/>
        <w:rPr>
          <w:rFonts w:ascii="Times New Roman" w:hAnsi="Times New Roman"/>
          <w:color w:val="000000" w:themeColor="text1"/>
          <w:lang w:val="en-PH"/>
        </w:rPr>
      </w:pPr>
      <w:r w:rsidRPr="006E7685">
        <w:rPr>
          <w:rFonts w:ascii="Times New Roman" w:hAnsi="Times New Roman"/>
          <w:color w:val="000000" w:themeColor="text1"/>
        </w:rPr>
        <w:tab/>
      </w:r>
      <w:r w:rsidR="00637324" w:rsidRPr="00637324">
        <w:rPr>
          <w:rFonts w:ascii="Times New Roman" w:hAnsi="Times New Roman"/>
          <w:color w:val="000000" w:themeColor="text1"/>
          <w:lang w:val="en-PH"/>
        </w:rPr>
        <w:t xml:space="preserve">The t-test results comparing the pre-experimental performance of students utilizing </w:t>
      </w:r>
      <w:proofErr w:type="spellStart"/>
      <w:r w:rsidR="00637324" w:rsidRPr="00637324">
        <w:rPr>
          <w:rFonts w:ascii="Times New Roman" w:hAnsi="Times New Roman"/>
          <w:color w:val="000000" w:themeColor="text1"/>
          <w:lang w:val="en-PH"/>
        </w:rPr>
        <w:t>MathGPT</w:t>
      </w:r>
      <w:proofErr w:type="spellEnd"/>
      <w:r w:rsidR="00637324" w:rsidRPr="00637324">
        <w:rPr>
          <w:rFonts w:ascii="Times New Roman" w:hAnsi="Times New Roman"/>
          <w:color w:val="000000" w:themeColor="text1"/>
          <w:lang w:val="en-PH"/>
        </w:rPr>
        <w:t xml:space="preserve"> and Flexi 2.0 as AI-driven math tutors indicated no significant difference between the two cohorts. Although </w:t>
      </w:r>
      <w:proofErr w:type="spellStart"/>
      <w:r w:rsidR="00637324" w:rsidRPr="00637324">
        <w:rPr>
          <w:rFonts w:ascii="Times New Roman" w:hAnsi="Times New Roman"/>
          <w:color w:val="000000" w:themeColor="text1"/>
          <w:lang w:val="en-PH"/>
        </w:rPr>
        <w:t>MathGPT</w:t>
      </w:r>
      <w:proofErr w:type="spellEnd"/>
      <w:r w:rsidR="00637324" w:rsidRPr="00637324">
        <w:rPr>
          <w:rFonts w:ascii="Times New Roman" w:hAnsi="Times New Roman"/>
          <w:color w:val="000000" w:themeColor="text1"/>
          <w:lang w:val="en-PH"/>
        </w:rPr>
        <w:t xml:space="preserve"> exhibits a somewhat superior mean score of 12.70 relative to Flexi 2.0's 12.60, the calculated t-value of 0.055 is much lower than the crucial value of 2.100 at a 0.05 significance level. Consequently, there is inadequate statistical evidence to dismiss the null hypothesis, suggesting no substantial disparity in the students' performance prior to the experimental intervention. This outcome verifies that the two groups possessed equal mathematical abilities before the implementation of the AI tools, hence affirming the validity of the experimental design.</w:t>
      </w:r>
    </w:p>
    <w:p w14:paraId="01C16D9B" w14:textId="7D1082C4" w:rsidR="00637324" w:rsidRDefault="00637324" w:rsidP="00637324">
      <w:pPr>
        <w:tabs>
          <w:tab w:val="left" w:pos="0"/>
          <w:tab w:val="left" w:pos="720"/>
        </w:tabs>
        <w:spacing w:line="240" w:lineRule="auto"/>
        <w:jc w:val="both"/>
        <w:rPr>
          <w:rFonts w:ascii="Times New Roman" w:hAnsi="Times New Roman"/>
          <w:color w:val="000000" w:themeColor="text1"/>
          <w:lang w:val="en-PH"/>
        </w:rPr>
      </w:pPr>
      <w:r>
        <w:rPr>
          <w:rFonts w:ascii="Times New Roman" w:hAnsi="Times New Roman"/>
          <w:color w:val="000000" w:themeColor="text1"/>
          <w:lang w:val="en-PH"/>
        </w:rPr>
        <w:tab/>
      </w:r>
      <w:r w:rsidRPr="00637324">
        <w:rPr>
          <w:rFonts w:ascii="Times New Roman" w:hAnsi="Times New Roman"/>
          <w:color w:val="000000" w:themeColor="text1"/>
          <w:lang w:val="en-PH"/>
        </w:rPr>
        <w:t>The lack of a substantial difference between the groups initially may indicate uniformity in their mathematical abilities, however it also underscores that both groups required enhancement, as evidenced by their very low mean scores. This outcome corresponds with the observations of Owan et al. (2023), who identified the capacity of AI to improve educational evaluations and augment student achievement, particularly when conventional approaches have demonstrated shortcomings.</w:t>
      </w:r>
      <w:r w:rsidR="00731AA5">
        <w:rPr>
          <w:rFonts w:ascii="Times New Roman" w:hAnsi="Times New Roman"/>
          <w:color w:val="000000" w:themeColor="text1"/>
          <w:lang w:val="en-PH"/>
        </w:rPr>
        <w:t xml:space="preserve"> </w:t>
      </w:r>
      <w:r w:rsidRPr="00637324">
        <w:rPr>
          <w:rFonts w:ascii="Times New Roman" w:hAnsi="Times New Roman"/>
          <w:color w:val="000000" w:themeColor="text1"/>
          <w:lang w:val="en-PH"/>
        </w:rPr>
        <w:t xml:space="preserve">Consistent with other research indicating the potential of AI to enhance student learning results (Bray &amp; Tangney, 2017; </w:t>
      </w:r>
      <w:r w:rsidR="00CA10EE" w:rsidRPr="00CA10EE">
        <w:rPr>
          <w:rFonts w:ascii="Times New Roman" w:hAnsi="Times New Roman"/>
          <w:bCs/>
          <w:color w:val="000000" w:themeColor="text1"/>
        </w:rPr>
        <w:t>Mohamed</w:t>
      </w:r>
      <w:r w:rsidRPr="00637324">
        <w:rPr>
          <w:rFonts w:ascii="Times New Roman" w:hAnsi="Times New Roman"/>
          <w:color w:val="000000" w:themeColor="text1"/>
          <w:lang w:val="en-PH"/>
        </w:rPr>
        <w:t xml:space="preserve"> et al., 2022), the preliminary analysis of the current study suggests that AI tools may function as useful educational aids. The negligible pre-experiment difference indicates that both tools (</w:t>
      </w:r>
      <w:proofErr w:type="spellStart"/>
      <w:r w:rsidRPr="00637324">
        <w:rPr>
          <w:rFonts w:ascii="Times New Roman" w:hAnsi="Times New Roman"/>
          <w:color w:val="000000" w:themeColor="text1"/>
          <w:lang w:val="en-PH"/>
        </w:rPr>
        <w:t>MathGPT</w:t>
      </w:r>
      <w:proofErr w:type="spellEnd"/>
      <w:r w:rsidRPr="00637324">
        <w:rPr>
          <w:rFonts w:ascii="Times New Roman" w:hAnsi="Times New Roman"/>
          <w:color w:val="000000" w:themeColor="text1"/>
          <w:lang w:val="en-PH"/>
        </w:rPr>
        <w:t xml:space="preserve"> and Flexi 2.0) may provide similar foundational support for mathematics education, thereby corroborating previous studies that highlight AI's ability to deliver personalized learning experiences (Huang, 2018; </w:t>
      </w:r>
      <w:proofErr w:type="spellStart"/>
      <w:r w:rsidRPr="00637324">
        <w:rPr>
          <w:rFonts w:ascii="Times New Roman" w:hAnsi="Times New Roman"/>
          <w:color w:val="000000" w:themeColor="text1"/>
          <w:lang w:val="en-PH"/>
        </w:rPr>
        <w:t>Voskoglou</w:t>
      </w:r>
      <w:proofErr w:type="spellEnd"/>
      <w:r w:rsidRPr="00637324">
        <w:rPr>
          <w:rFonts w:ascii="Times New Roman" w:hAnsi="Times New Roman"/>
          <w:color w:val="000000" w:themeColor="text1"/>
          <w:lang w:val="en-PH"/>
        </w:rPr>
        <w:t xml:space="preserve"> &amp; Salem, 2020).</w:t>
      </w:r>
    </w:p>
    <w:p w14:paraId="2613BC4E" w14:textId="74969505" w:rsidR="00637324" w:rsidRPr="00637324" w:rsidRDefault="00637324" w:rsidP="00637324">
      <w:pPr>
        <w:tabs>
          <w:tab w:val="left" w:pos="0"/>
          <w:tab w:val="left" w:pos="720"/>
        </w:tabs>
        <w:spacing w:line="240" w:lineRule="auto"/>
        <w:jc w:val="both"/>
        <w:rPr>
          <w:rFonts w:ascii="Times New Roman" w:hAnsi="Times New Roman"/>
          <w:color w:val="000000" w:themeColor="text1"/>
          <w:lang w:val="en-PH"/>
        </w:rPr>
      </w:pPr>
      <w:r>
        <w:rPr>
          <w:rFonts w:ascii="Times New Roman" w:hAnsi="Times New Roman"/>
          <w:color w:val="000000" w:themeColor="text1"/>
          <w:lang w:val="en-PH"/>
        </w:rPr>
        <w:tab/>
      </w:r>
      <w:r w:rsidRPr="00637324">
        <w:rPr>
          <w:rFonts w:ascii="Times New Roman" w:hAnsi="Times New Roman"/>
          <w:color w:val="000000" w:themeColor="text1"/>
          <w:lang w:val="en-PH"/>
        </w:rPr>
        <w:t xml:space="preserve">The observation that both groups exhibited no substantial performance disparity before the experiment suggests that AI-driven tools such as </w:t>
      </w:r>
      <w:proofErr w:type="spellStart"/>
      <w:r w:rsidRPr="00637324">
        <w:rPr>
          <w:rFonts w:ascii="Times New Roman" w:hAnsi="Times New Roman"/>
          <w:color w:val="000000" w:themeColor="text1"/>
          <w:lang w:val="en-PH"/>
        </w:rPr>
        <w:t>MathGPT</w:t>
      </w:r>
      <w:proofErr w:type="spellEnd"/>
      <w:r w:rsidRPr="00637324">
        <w:rPr>
          <w:rFonts w:ascii="Times New Roman" w:hAnsi="Times New Roman"/>
          <w:color w:val="000000" w:themeColor="text1"/>
          <w:lang w:val="en-PH"/>
        </w:rPr>
        <w:t xml:space="preserve"> and Flexi 2.0 may function as effective and equitable resources for enhancing students' arithmetic abilities. The negligible difference before the intervention guarantees that any performance changes found after the trial may be ascribed to the AI tools rather than pre-existing student abilities. This substantiates the notion that AI can democratize access to high-quality math tutoring by offering tailored guidance to all students, irrespective of their initial proficiency levels.</w:t>
      </w:r>
    </w:p>
    <w:p w14:paraId="21FA925D" w14:textId="569E06C5" w:rsidR="006E7685" w:rsidRPr="00731AA5" w:rsidRDefault="006E7685" w:rsidP="00731AA5">
      <w:pPr>
        <w:tabs>
          <w:tab w:val="left" w:pos="142"/>
          <w:tab w:val="left" w:pos="720"/>
        </w:tabs>
        <w:spacing w:after="0" w:line="240" w:lineRule="auto"/>
        <w:jc w:val="center"/>
        <w:rPr>
          <w:rFonts w:ascii="Times New Roman" w:hAnsi="Times New Roman"/>
          <w:bCs/>
          <w:color w:val="000000" w:themeColor="text1"/>
        </w:rPr>
      </w:pPr>
      <w:r w:rsidRPr="00731AA5">
        <w:rPr>
          <w:rFonts w:ascii="Times New Roman" w:hAnsi="Times New Roman"/>
          <w:bCs/>
          <w:color w:val="000000" w:themeColor="text1"/>
        </w:rPr>
        <w:t>Table 2</w:t>
      </w:r>
      <w:r w:rsidR="00731AA5">
        <w:rPr>
          <w:rFonts w:ascii="Times New Roman" w:hAnsi="Times New Roman"/>
          <w:bCs/>
          <w:color w:val="000000" w:themeColor="text1"/>
        </w:rPr>
        <w:t>.</w:t>
      </w:r>
      <w:r w:rsidRPr="00731AA5">
        <w:rPr>
          <w:rFonts w:ascii="Times New Roman" w:hAnsi="Times New Roman"/>
          <w:bCs/>
          <w:color w:val="000000" w:themeColor="text1"/>
        </w:rPr>
        <w:t xml:space="preserve"> Performances of Subjects After using AI – powered Math Tutors</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184"/>
        <w:gridCol w:w="1127"/>
        <w:gridCol w:w="1276"/>
        <w:gridCol w:w="3297"/>
      </w:tblGrid>
      <w:tr w:rsidR="006E7685" w:rsidRPr="00731AA5" w14:paraId="280F7F20" w14:textId="77777777" w:rsidTr="00731AA5">
        <w:trPr>
          <w:trHeight w:val="234"/>
          <w:jc w:val="center"/>
        </w:trPr>
        <w:tc>
          <w:tcPr>
            <w:tcW w:w="1563" w:type="dxa"/>
            <w:tcBorders>
              <w:top w:val="single" w:sz="12" w:space="0" w:color="70AD47" w:themeColor="accent6"/>
              <w:left w:val="nil"/>
              <w:bottom w:val="single" w:sz="12" w:space="0" w:color="70AD47" w:themeColor="accent6"/>
              <w:right w:val="nil"/>
            </w:tcBorders>
            <w:noWrap/>
            <w:hideMark/>
          </w:tcPr>
          <w:p w14:paraId="24CDAE29"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 </w:t>
            </w:r>
          </w:p>
        </w:tc>
        <w:tc>
          <w:tcPr>
            <w:tcW w:w="1184" w:type="dxa"/>
            <w:tcBorders>
              <w:top w:val="single" w:sz="12" w:space="0" w:color="70AD47" w:themeColor="accent6"/>
              <w:left w:val="nil"/>
              <w:bottom w:val="single" w:sz="12" w:space="0" w:color="70AD47" w:themeColor="accent6"/>
              <w:right w:val="nil"/>
            </w:tcBorders>
            <w:noWrap/>
            <w:vAlign w:val="center"/>
            <w:hideMark/>
          </w:tcPr>
          <w:p w14:paraId="019F3377" w14:textId="77777777" w:rsidR="006E7685" w:rsidRPr="00731AA5" w:rsidRDefault="006E7685" w:rsidP="00731AA5">
            <w:pPr>
              <w:spacing w:after="0" w:line="240" w:lineRule="auto"/>
              <w:jc w:val="center"/>
              <w:rPr>
                <w:rFonts w:ascii="Times New Roman" w:hAnsi="Times New Roman"/>
                <w:color w:val="000000" w:themeColor="text1"/>
                <w:lang w:eastAsia="en-SG"/>
              </w:rPr>
            </w:pPr>
            <w:proofErr w:type="spellStart"/>
            <w:r w:rsidRPr="00731AA5">
              <w:rPr>
                <w:rFonts w:ascii="Times New Roman" w:hAnsi="Times New Roman"/>
                <w:color w:val="000000" w:themeColor="text1"/>
                <w:lang w:eastAsia="en-SG"/>
              </w:rPr>
              <w:t>MathGPT</w:t>
            </w:r>
            <w:proofErr w:type="spellEnd"/>
          </w:p>
        </w:tc>
        <w:tc>
          <w:tcPr>
            <w:tcW w:w="1127" w:type="dxa"/>
            <w:tcBorders>
              <w:top w:val="single" w:sz="12" w:space="0" w:color="70AD47" w:themeColor="accent6"/>
              <w:left w:val="nil"/>
              <w:bottom w:val="single" w:sz="12" w:space="0" w:color="70AD47" w:themeColor="accent6"/>
              <w:right w:val="nil"/>
            </w:tcBorders>
            <w:noWrap/>
            <w:vAlign w:val="center"/>
            <w:hideMark/>
          </w:tcPr>
          <w:p w14:paraId="5386042B"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Flexi 2.0</w:t>
            </w:r>
          </w:p>
        </w:tc>
        <w:tc>
          <w:tcPr>
            <w:tcW w:w="1276" w:type="dxa"/>
            <w:tcBorders>
              <w:top w:val="single" w:sz="12" w:space="0" w:color="70AD47" w:themeColor="accent6"/>
              <w:left w:val="nil"/>
              <w:bottom w:val="single" w:sz="12" w:space="0" w:color="70AD47" w:themeColor="accent6"/>
              <w:right w:val="nil"/>
            </w:tcBorders>
            <w:vAlign w:val="center"/>
          </w:tcPr>
          <w:p w14:paraId="575AB858"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Difference</w:t>
            </w:r>
          </w:p>
        </w:tc>
        <w:tc>
          <w:tcPr>
            <w:tcW w:w="3297" w:type="dxa"/>
            <w:tcBorders>
              <w:top w:val="single" w:sz="12" w:space="0" w:color="70AD47" w:themeColor="accent6"/>
              <w:left w:val="nil"/>
              <w:bottom w:val="single" w:sz="12" w:space="0" w:color="70AD47" w:themeColor="accent6"/>
              <w:right w:val="nil"/>
            </w:tcBorders>
          </w:tcPr>
          <w:p w14:paraId="4E5EDB4A"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Interpretation</w:t>
            </w:r>
          </w:p>
        </w:tc>
      </w:tr>
      <w:tr w:rsidR="006E7685" w:rsidRPr="00731AA5" w14:paraId="1EE02048" w14:textId="77777777" w:rsidTr="00731AA5">
        <w:trPr>
          <w:trHeight w:val="234"/>
          <w:jc w:val="center"/>
        </w:trPr>
        <w:tc>
          <w:tcPr>
            <w:tcW w:w="1563" w:type="dxa"/>
            <w:tcBorders>
              <w:top w:val="single" w:sz="12" w:space="0" w:color="70AD47" w:themeColor="accent6"/>
              <w:left w:val="nil"/>
              <w:bottom w:val="nil"/>
              <w:right w:val="nil"/>
            </w:tcBorders>
            <w:noWrap/>
            <w:vAlign w:val="center"/>
            <w:hideMark/>
          </w:tcPr>
          <w:p w14:paraId="758CAEE9"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Pre – Test</w:t>
            </w:r>
          </w:p>
        </w:tc>
        <w:tc>
          <w:tcPr>
            <w:tcW w:w="1184" w:type="dxa"/>
            <w:tcBorders>
              <w:top w:val="single" w:sz="12" w:space="0" w:color="70AD47" w:themeColor="accent6"/>
              <w:left w:val="nil"/>
              <w:bottom w:val="nil"/>
              <w:right w:val="nil"/>
            </w:tcBorders>
            <w:noWrap/>
            <w:vAlign w:val="center"/>
            <w:hideMark/>
          </w:tcPr>
          <w:p w14:paraId="311F1B01"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12.70</w:t>
            </w:r>
          </w:p>
        </w:tc>
        <w:tc>
          <w:tcPr>
            <w:tcW w:w="1127" w:type="dxa"/>
            <w:tcBorders>
              <w:top w:val="single" w:sz="12" w:space="0" w:color="70AD47" w:themeColor="accent6"/>
              <w:left w:val="nil"/>
              <w:bottom w:val="nil"/>
              <w:right w:val="nil"/>
            </w:tcBorders>
            <w:noWrap/>
            <w:vAlign w:val="center"/>
            <w:hideMark/>
          </w:tcPr>
          <w:p w14:paraId="115BC0AB"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12.60</w:t>
            </w:r>
          </w:p>
        </w:tc>
        <w:tc>
          <w:tcPr>
            <w:tcW w:w="1276" w:type="dxa"/>
            <w:tcBorders>
              <w:top w:val="single" w:sz="12" w:space="0" w:color="70AD47" w:themeColor="accent6"/>
              <w:left w:val="nil"/>
              <w:bottom w:val="nil"/>
              <w:right w:val="nil"/>
            </w:tcBorders>
            <w:vAlign w:val="center"/>
          </w:tcPr>
          <w:p w14:paraId="07FB28A8"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0.10</w:t>
            </w:r>
          </w:p>
        </w:tc>
        <w:tc>
          <w:tcPr>
            <w:tcW w:w="3297" w:type="dxa"/>
            <w:tcBorders>
              <w:top w:val="single" w:sz="12" w:space="0" w:color="70AD47" w:themeColor="accent6"/>
              <w:left w:val="nil"/>
              <w:bottom w:val="nil"/>
              <w:right w:val="nil"/>
            </w:tcBorders>
          </w:tcPr>
          <w:p w14:paraId="495361EA" w14:textId="77777777" w:rsidR="006E7685" w:rsidRPr="00731AA5" w:rsidRDefault="006E7685" w:rsidP="00731AA5">
            <w:pPr>
              <w:spacing w:after="0" w:line="240" w:lineRule="auto"/>
              <w:rPr>
                <w:rFonts w:ascii="Times New Roman" w:hAnsi="Times New Roman"/>
                <w:color w:val="000000" w:themeColor="text1"/>
                <w:lang w:eastAsia="en-SG"/>
              </w:rPr>
            </w:pPr>
            <w:proofErr w:type="spellStart"/>
            <w:r w:rsidRPr="00731AA5">
              <w:rPr>
                <w:rFonts w:ascii="Times New Roman" w:hAnsi="Times New Roman"/>
                <w:color w:val="000000" w:themeColor="text1"/>
                <w:lang w:eastAsia="en-SG"/>
              </w:rPr>
              <w:t>MathGPT</w:t>
            </w:r>
            <w:proofErr w:type="spellEnd"/>
            <w:r w:rsidRPr="00731AA5">
              <w:rPr>
                <w:rFonts w:ascii="Times New Roman" w:hAnsi="Times New Roman"/>
                <w:color w:val="000000" w:themeColor="text1"/>
                <w:lang w:eastAsia="en-SG"/>
              </w:rPr>
              <w:t xml:space="preserve"> group performed better</w:t>
            </w:r>
          </w:p>
        </w:tc>
      </w:tr>
      <w:tr w:rsidR="006E7685" w:rsidRPr="00731AA5" w14:paraId="60A46CD6" w14:textId="77777777" w:rsidTr="00731AA5">
        <w:trPr>
          <w:trHeight w:val="234"/>
          <w:jc w:val="center"/>
        </w:trPr>
        <w:tc>
          <w:tcPr>
            <w:tcW w:w="1563" w:type="dxa"/>
            <w:tcBorders>
              <w:top w:val="nil"/>
              <w:left w:val="nil"/>
              <w:bottom w:val="nil"/>
              <w:right w:val="nil"/>
            </w:tcBorders>
            <w:noWrap/>
            <w:vAlign w:val="center"/>
            <w:hideMark/>
          </w:tcPr>
          <w:p w14:paraId="17432E92"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Post – Test</w:t>
            </w:r>
          </w:p>
        </w:tc>
        <w:tc>
          <w:tcPr>
            <w:tcW w:w="1184" w:type="dxa"/>
            <w:tcBorders>
              <w:top w:val="nil"/>
              <w:left w:val="nil"/>
              <w:bottom w:val="nil"/>
              <w:right w:val="nil"/>
            </w:tcBorders>
            <w:noWrap/>
            <w:vAlign w:val="center"/>
            <w:hideMark/>
          </w:tcPr>
          <w:p w14:paraId="075E444D"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18.40</w:t>
            </w:r>
          </w:p>
        </w:tc>
        <w:tc>
          <w:tcPr>
            <w:tcW w:w="1127" w:type="dxa"/>
            <w:tcBorders>
              <w:top w:val="nil"/>
              <w:left w:val="nil"/>
              <w:bottom w:val="nil"/>
              <w:right w:val="nil"/>
            </w:tcBorders>
            <w:noWrap/>
            <w:vAlign w:val="center"/>
            <w:hideMark/>
          </w:tcPr>
          <w:p w14:paraId="466EE65C"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21.00</w:t>
            </w:r>
          </w:p>
        </w:tc>
        <w:tc>
          <w:tcPr>
            <w:tcW w:w="1276" w:type="dxa"/>
            <w:tcBorders>
              <w:top w:val="nil"/>
              <w:left w:val="nil"/>
              <w:bottom w:val="nil"/>
              <w:right w:val="nil"/>
            </w:tcBorders>
            <w:vAlign w:val="center"/>
          </w:tcPr>
          <w:p w14:paraId="27882D97"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2.60</w:t>
            </w:r>
          </w:p>
        </w:tc>
        <w:tc>
          <w:tcPr>
            <w:tcW w:w="3297" w:type="dxa"/>
            <w:tcBorders>
              <w:top w:val="nil"/>
              <w:left w:val="nil"/>
              <w:bottom w:val="nil"/>
              <w:right w:val="nil"/>
            </w:tcBorders>
          </w:tcPr>
          <w:p w14:paraId="2E49CF5A"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Flexi 2.0 group performed better</w:t>
            </w:r>
          </w:p>
        </w:tc>
      </w:tr>
      <w:tr w:rsidR="006E7685" w:rsidRPr="00731AA5" w14:paraId="360BB55C" w14:textId="77777777" w:rsidTr="00731AA5">
        <w:trPr>
          <w:trHeight w:val="234"/>
          <w:jc w:val="center"/>
        </w:trPr>
        <w:tc>
          <w:tcPr>
            <w:tcW w:w="1563" w:type="dxa"/>
            <w:tcBorders>
              <w:top w:val="nil"/>
              <w:left w:val="nil"/>
              <w:bottom w:val="single" w:sz="12" w:space="0" w:color="70AD47" w:themeColor="accent6"/>
              <w:right w:val="nil"/>
            </w:tcBorders>
            <w:noWrap/>
            <w:vAlign w:val="center"/>
            <w:hideMark/>
          </w:tcPr>
          <w:p w14:paraId="1EF02FFA"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Difference</w:t>
            </w:r>
          </w:p>
        </w:tc>
        <w:tc>
          <w:tcPr>
            <w:tcW w:w="1184" w:type="dxa"/>
            <w:tcBorders>
              <w:top w:val="nil"/>
              <w:left w:val="nil"/>
              <w:bottom w:val="single" w:sz="12" w:space="0" w:color="70AD47" w:themeColor="accent6"/>
              <w:right w:val="nil"/>
            </w:tcBorders>
            <w:noWrap/>
            <w:vAlign w:val="center"/>
            <w:hideMark/>
          </w:tcPr>
          <w:p w14:paraId="7F6D4250"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5.70</w:t>
            </w:r>
          </w:p>
        </w:tc>
        <w:tc>
          <w:tcPr>
            <w:tcW w:w="1127" w:type="dxa"/>
            <w:tcBorders>
              <w:top w:val="nil"/>
              <w:left w:val="nil"/>
              <w:bottom w:val="single" w:sz="12" w:space="0" w:color="70AD47" w:themeColor="accent6"/>
              <w:right w:val="nil"/>
            </w:tcBorders>
            <w:noWrap/>
            <w:vAlign w:val="center"/>
            <w:hideMark/>
          </w:tcPr>
          <w:p w14:paraId="1D95F59E"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8.40</w:t>
            </w:r>
          </w:p>
        </w:tc>
        <w:tc>
          <w:tcPr>
            <w:tcW w:w="1276" w:type="dxa"/>
            <w:tcBorders>
              <w:top w:val="nil"/>
              <w:left w:val="nil"/>
              <w:bottom w:val="single" w:sz="12" w:space="0" w:color="70AD47" w:themeColor="accent6"/>
              <w:right w:val="nil"/>
            </w:tcBorders>
            <w:vAlign w:val="center"/>
          </w:tcPr>
          <w:p w14:paraId="1CFC804C"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2.70</w:t>
            </w:r>
          </w:p>
        </w:tc>
        <w:tc>
          <w:tcPr>
            <w:tcW w:w="3297" w:type="dxa"/>
            <w:tcBorders>
              <w:top w:val="nil"/>
              <w:left w:val="nil"/>
              <w:bottom w:val="single" w:sz="12" w:space="0" w:color="70AD47" w:themeColor="accent6"/>
              <w:right w:val="nil"/>
            </w:tcBorders>
          </w:tcPr>
          <w:p w14:paraId="1DD2AB8B"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Flexi 2.0 group performed better</w:t>
            </w:r>
          </w:p>
        </w:tc>
      </w:tr>
      <w:tr w:rsidR="006E7685" w:rsidRPr="00731AA5" w14:paraId="1C4A35B4" w14:textId="77777777" w:rsidTr="00731AA5">
        <w:trPr>
          <w:trHeight w:val="50"/>
          <w:jc w:val="center"/>
        </w:trPr>
        <w:tc>
          <w:tcPr>
            <w:tcW w:w="1563" w:type="dxa"/>
            <w:tcBorders>
              <w:top w:val="single" w:sz="12" w:space="0" w:color="70AD47" w:themeColor="accent6"/>
              <w:left w:val="nil"/>
              <w:bottom w:val="single" w:sz="12" w:space="0" w:color="70AD47" w:themeColor="accent6"/>
              <w:right w:val="nil"/>
            </w:tcBorders>
            <w:noWrap/>
            <w:vAlign w:val="center"/>
          </w:tcPr>
          <w:p w14:paraId="7A39574C" w14:textId="77777777" w:rsidR="006E7685" w:rsidRPr="00731AA5" w:rsidRDefault="006E7685" w:rsidP="00731AA5">
            <w:pPr>
              <w:spacing w:after="0" w:line="240" w:lineRule="auto"/>
              <w:jc w:val="center"/>
              <w:rPr>
                <w:rFonts w:ascii="Times New Roman" w:hAnsi="Times New Roman"/>
                <w:color w:val="000000" w:themeColor="text1"/>
                <w:lang w:eastAsia="en-SG"/>
              </w:rPr>
            </w:pPr>
            <w:r w:rsidRPr="00731AA5">
              <w:rPr>
                <w:rFonts w:ascii="Times New Roman" w:hAnsi="Times New Roman"/>
                <w:color w:val="000000" w:themeColor="text1"/>
                <w:lang w:eastAsia="en-SG"/>
              </w:rPr>
              <w:t>Interpretation</w:t>
            </w:r>
          </w:p>
        </w:tc>
        <w:tc>
          <w:tcPr>
            <w:tcW w:w="3587" w:type="dxa"/>
            <w:gridSpan w:val="3"/>
            <w:tcBorders>
              <w:top w:val="single" w:sz="12" w:space="0" w:color="70AD47" w:themeColor="accent6"/>
              <w:left w:val="nil"/>
              <w:bottom w:val="single" w:sz="12" w:space="0" w:color="70AD47" w:themeColor="accent6"/>
              <w:right w:val="nil"/>
            </w:tcBorders>
            <w:noWrap/>
            <w:vAlign w:val="center"/>
          </w:tcPr>
          <w:p w14:paraId="04D6E664" w14:textId="77777777" w:rsidR="006E7685" w:rsidRPr="00731AA5" w:rsidRDefault="006E7685" w:rsidP="00731AA5">
            <w:pPr>
              <w:spacing w:after="0" w:line="240" w:lineRule="auto"/>
              <w:rPr>
                <w:rFonts w:ascii="Times New Roman" w:hAnsi="Times New Roman"/>
                <w:color w:val="000000" w:themeColor="text1"/>
                <w:lang w:eastAsia="en-SG"/>
              </w:rPr>
            </w:pPr>
            <w:r w:rsidRPr="00731AA5">
              <w:rPr>
                <w:rFonts w:ascii="Times New Roman" w:hAnsi="Times New Roman"/>
                <w:color w:val="000000" w:themeColor="text1"/>
                <w:lang w:eastAsia="en-SG"/>
              </w:rPr>
              <w:t>Flexi 2.0 group performed better</w:t>
            </w:r>
          </w:p>
        </w:tc>
        <w:tc>
          <w:tcPr>
            <w:tcW w:w="3297" w:type="dxa"/>
            <w:tcBorders>
              <w:top w:val="single" w:sz="12" w:space="0" w:color="70AD47" w:themeColor="accent6"/>
              <w:left w:val="nil"/>
              <w:bottom w:val="single" w:sz="12" w:space="0" w:color="70AD47" w:themeColor="accent6"/>
              <w:right w:val="nil"/>
            </w:tcBorders>
          </w:tcPr>
          <w:p w14:paraId="43512D78" w14:textId="77777777" w:rsidR="006E7685" w:rsidRPr="00731AA5" w:rsidRDefault="006E7685" w:rsidP="00731AA5">
            <w:pPr>
              <w:spacing w:after="0" w:line="240" w:lineRule="auto"/>
              <w:rPr>
                <w:rFonts w:ascii="Times New Roman" w:hAnsi="Times New Roman"/>
                <w:color w:val="000000" w:themeColor="text1"/>
                <w:lang w:eastAsia="en-SG"/>
              </w:rPr>
            </w:pPr>
          </w:p>
        </w:tc>
      </w:tr>
    </w:tbl>
    <w:p w14:paraId="6E51E394" w14:textId="77777777" w:rsidR="00731AA5" w:rsidRDefault="00731AA5" w:rsidP="00634F9A">
      <w:pPr>
        <w:shd w:val="clear" w:color="auto" w:fill="FFFFFF"/>
        <w:spacing w:after="0" w:line="240" w:lineRule="auto"/>
        <w:jc w:val="both"/>
        <w:rPr>
          <w:rFonts w:ascii="Times New Roman" w:hAnsi="Times New Roman"/>
          <w:b/>
          <w:color w:val="000000" w:themeColor="text1"/>
        </w:rPr>
      </w:pPr>
    </w:p>
    <w:p w14:paraId="529811FF" w14:textId="67BA3A0D" w:rsidR="00634F9A" w:rsidRDefault="006E7685" w:rsidP="00634F9A">
      <w:pPr>
        <w:shd w:val="clear" w:color="auto" w:fill="FFFFFF"/>
        <w:spacing w:after="0" w:line="240" w:lineRule="auto"/>
        <w:jc w:val="both"/>
        <w:rPr>
          <w:rFonts w:ascii="Times New Roman" w:hAnsi="Times New Roman"/>
          <w:bCs/>
          <w:color w:val="000000" w:themeColor="text1"/>
        </w:rPr>
      </w:pPr>
      <w:r w:rsidRPr="006E7685">
        <w:rPr>
          <w:rFonts w:ascii="Times New Roman" w:hAnsi="Times New Roman"/>
          <w:b/>
          <w:color w:val="000000" w:themeColor="text1"/>
        </w:rPr>
        <w:tab/>
      </w:r>
      <w:r w:rsidR="00634F9A" w:rsidRPr="00634F9A">
        <w:rPr>
          <w:rFonts w:ascii="Times New Roman" w:hAnsi="Times New Roman"/>
          <w:bCs/>
          <w:color w:val="000000" w:themeColor="text1"/>
        </w:rPr>
        <w:t xml:space="preserve">Table 2 illustrates that both groups, utilizing </w:t>
      </w:r>
      <w:proofErr w:type="spellStart"/>
      <w:r w:rsidR="00634F9A" w:rsidRPr="00634F9A">
        <w:rPr>
          <w:rFonts w:ascii="Times New Roman" w:hAnsi="Times New Roman"/>
          <w:bCs/>
          <w:color w:val="000000" w:themeColor="text1"/>
        </w:rPr>
        <w:t>MathGPT</w:t>
      </w:r>
      <w:proofErr w:type="spellEnd"/>
      <w:r w:rsidR="00634F9A" w:rsidRPr="00634F9A">
        <w:rPr>
          <w:rFonts w:ascii="Times New Roman" w:hAnsi="Times New Roman"/>
          <w:bCs/>
          <w:color w:val="000000" w:themeColor="text1"/>
        </w:rPr>
        <w:t xml:space="preserve"> and Flexi 2.0, exhibited enhancements from the pre-test to the post-test. Nonetheless, a notable disparity exists in the extent of enhancement between the two groups. At the outset, in the pre-test, the </w:t>
      </w:r>
      <w:proofErr w:type="spellStart"/>
      <w:r w:rsidR="00634F9A" w:rsidRPr="00634F9A">
        <w:rPr>
          <w:rFonts w:ascii="Times New Roman" w:hAnsi="Times New Roman"/>
          <w:bCs/>
          <w:color w:val="000000" w:themeColor="text1"/>
        </w:rPr>
        <w:t>MathGPT</w:t>
      </w:r>
      <w:proofErr w:type="spellEnd"/>
      <w:r w:rsidR="00634F9A" w:rsidRPr="00634F9A">
        <w:rPr>
          <w:rFonts w:ascii="Times New Roman" w:hAnsi="Times New Roman"/>
          <w:bCs/>
          <w:color w:val="000000" w:themeColor="text1"/>
        </w:rPr>
        <w:t xml:space="preserve"> group surpassed the Flexi 2.0 group by a slight margin of 0.10 points. Nonetheless, the post-test findings reveal a notable change, as the Flexi 2.0 group attained a superior mean score, surpassing the </w:t>
      </w:r>
      <w:proofErr w:type="spellStart"/>
      <w:r w:rsidR="00634F9A" w:rsidRPr="00634F9A">
        <w:rPr>
          <w:rFonts w:ascii="Times New Roman" w:hAnsi="Times New Roman"/>
          <w:bCs/>
          <w:color w:val="000000" w:themeColor="text1"/>
        </w:rPr>
        <w:t>MathGPT</w:t>
      </w:r>
      <w:proofErr w:type="spellEnd"/>
      <w:r w:rsidR="00634F9A" w:rsidRPr="00634F9A">
        <w:rPr>
          <w:rFonts w:ascii="Times New Roman" w:hAnsi="Times New Roman"/>
          <w:bCs/>
          <w:color w:val="000000" w:themeColor="text1"/>
        </w:rPr>
        <w:t xml:space="preserve"> group by 2.60 points. Moreover, after analyzing the pre-test and post-test scores, the Flexi 2.0 group exhibited a superior performance enhancement of 8.40 points, whereas the </w:t>
      </w:r>
      <w:proofErr w:type="spellStart"/>
      <w:r w:rsidR="00634F9A" w:rsidRPr="00634F9A">
        <w:rPr>
          <w:rFonts w:ascii="Times New Roman" w:hAnsi="Times New Roman"/>
          <w:bCs/>
          <w:color w:val="000000" w:themeColor="text1"/>
        </w:rPr>
        <w:t>MathGPT</w:t>
      </w:r>
      <w:proofErr w:type="spellEnd"/>
      <w:r w:rsidR="00634F9A" w:rsidRPr="00634F9A">
        <w:rPr>
          <w:rFonts w:ascii="Times New Roman" w:hAnsi="Times New Roman"/>
          <w:bCs/>
          <w:color w:val="000000" w:themeColor="text1"/>
        </w:rPr>
        <w:t xml:space="preserve"> group recorded a 5.40-point improvement.</w:t>
      </w:r>
    </w:p>
    <w:p w14:paraId="369EC6F8" w14:textId="77777777" w:rsidR="00634F9A" w:rsidRDefault="00634F9A" w:rsidP="00634F9A">
      <w:pPr>
        <w:shd w:val="clear" w:color="auto" w:fill="FFFFFF"/>
        <w:spacing w:after="0" w:line="240" w:lineRule="auto"/>
        <w:ind w:firstLine="720"/>
        <w:jc w:val="both"/>
        <w:rPr>
          <w:rFonts w:ascii="Times New Roman" w:hAnsi="Times New Roman"/>
          <w:bCs/>
          <w:color w:val="000000" w:themeColor="text1"/>
        </w:rPr>
      </w:pPr>
      <w:r w:rsidRPr="00634F9A">
        <w:rPr>
          <w:rFonts w:ascii="Times New Roman" w:hAnsi="Times New Roman"/>
          <w:bCs/>
          <w:color w:val="000000" w:themeColor="text1"/>
        </w:rPr>
        <w:t xml:space="preserve">The data indicate that although both AI-powered tools enhanced student performance, Flexi 2.0 exerted a more significant influence on learning outcomes than </w:t>
      </w:r>
      <w:proofErr w:type="spellStart"/>
      <w:r w:rsidRPr="00634F9A">
        <w:rPr>
          <w:rFonts w:ascii="Times New Roman" w:hAnsi="Times New Roman"/>
          <w:bCs/>
          <w:color w:val="000000" w:themeColor="text1"/>
        </w:rPr>
        <w:t>MathGPT</w:t>
      </w:r>
      <w:proofErr w:type="spellEnd"/>
      <w:r w:rsidRPr="00634F9A">
        <w:rPr>
          <w:rFonts w:ascii="Times New Roman" w:hAnsi="Times New Roman"/>
          <w:bCs/>
          <w:color w:val="000000" w:themeColor="text1"/>
        </w:rPr>
        <w:t xml:space="preserve">. The significant rise in scores for the Flexi 2.0 group suggests that this tool may provide features or instructional strategies that enhance student engagement or comprehension of mathematical concepts over time. The </w:t>
      </w:r>
      <w:proofErr w:type="spellStart"/>
      <w:r w:rsidRPr="00634F9A">
        <w:rPr>
          <w:rFonts w:ascii="Times New Roman" w:hAnsi="Times New Roman"/>
          <w:bCs/>
          <w:color w:val="000000" w:themeColor="text1"/>
        </w:rPr>
        <w:t>MathGPT</w:t>
      </w:r>
      <w:proofErr w:type="spellEnd"/>
      <w:r w:rsidRPr="00634F9A">
        <w:rPr>
          <w:rFonts w:ascii="Times New Roman" w:hAnsi="Times New Roman"/>
          <w:bCs/>
          <w:color w:val="000000" w:themeColor="text1"/>
        </w:rPr>
        <w:t xml:space="preserve"> group's modest initial advantage in the pre-test may indicate varying baseline interactions with the tools; nevertheless, the Flexi 2.0 group had superior total learning gains.</w:t>
      </w:r>
    </w:p>
    <w:p w14:paraId="6BE5EB44" w14:textId="77777777" w:rsidR="00634F9A" w:rsidRDefault="00634F9A" w:rsidP="00634F9A">
      <w:pPr>
        <w:shd w:val="clear" w:color="auto" w:fill="FFFFFF"/>
        <w:spacing w:after="0" w:line="240" w:lineRule="auto"/>
        <w:ind w:firstLine="720"/>
        <w:jc w:val="both"/>
        <w:rPr>
          <w:rFonts w:ascii="Times New Roman" w:hAnsi="Times New Roman"/>
          <w:bCs/>
          <w:color w:val="000000" w:themeColor="text1"/>
        </w:rPr>
      </w:pPr>
      <w:r w:rsidRPr="00634F9A">
        <w:rPr>
          <w:rFonts w:ascii="Times New Roman" w:hAnsi="Times New Roman"/>
          <w:bCs/>
          <w:color w:val="000000" w:themeColor="text1"/>
        </w:rPr>
        <w:t xml:space="preserve">The results correspond with previous studies that emphasize the efficacy of AI in improving student learning outcomes. Hwang &amp; Tu (2023) assert that AI-driven educational technologies, especially in mathematics, can substantially enhance student comprehension and performance. The enhanced performance in the Flexi 2.0 group aligns with research by </w:t>
      </w:r>
      <w:proofErr w:type="spellStart"/>
      <w:r w:rsidRPr="00634F9A">
        <w:rPr>
          <w:rFonts w:ascii="Times New Roman" w:hAnsi="Times New Roman"/>
          <w:bCs/>
          <w:color w:val="000000" w:themeColor="text1"/>
        </w:rPr>
        <w:t>Voskoglou</w:t>
      </w:r>
      <w:proofErr w:type="spellEnd"/>
      <w:r w:rsidRPr="00634F9A">
        <w:rPr>
          <w:rFonts w:ascii="Times New Roman" w:hAnsi="Times New Roman"/>
          <w:bCs/>
          <w:color w:val="000000" w:themeColor="text1"/>
        </w:rPr>
        <w:t xml:space="preserve"> &amp; Salem (2020), indicating that tailored feedback and AI-assisted problem-solving strategies substantially improve students' learning experiences.</w:t>
      </w:r>
    </w:p>
    <w:p w14:paraId="2CD4FF12" w14:textId="2C0AE144" w:rsidR="00634F9A" w:rsidRPr="006E7685" w:rsidRDefault="00634F9A" w:rsidP="009626BB">
      <w:pPr>
        <w:shd w:val="clear" w:color="auto" w:fill="FFFFFF"/>
        <w:spacing w:after="0" w:line="240" w:lineRule="auto"/>
        <w:ind w:firstLine="720"/>
        <w:jc w:val="both"/>
        <w:rPr>
          <w:rFonts w:ascii="Times New Roman" w:hAnsi="Times New Roman"/>
          <w:bCs/>
          <w:color w:val="000000" w:themeColor="text1"/>
        </w:rPr>
      </w:pPr>
      <w:r w:rsidRPr="00634F9A">
        <w:rPr>
          <w:rFonts w:ascii="Times New Roman" w:hAnsi="Times New Roman"/>
          <w:bCs/>
          <w:color w:val="000000" w:themeColor="text1"/>
        </w:rPr>
        <w:t xml:space="preserve">The findings indicate that AI-driven mathematics tutors, particularly Flexi 2.0, can markedly improve student achievement in mathematics by offering tailored learning experiences that may surpass conventional teaching methods or other AI resources such as </w:t>
      </w:r>
      <w:proofErr w:type="spellStart"/>
      <w:r w:rsidRPr="00634F9A">
        <w:rPr>
          <w:rFonts w:ascii="Times New Roman" w:hAnsi="Times New Roman"/>
          <w:bCs/>
          <w:color w:val="000000" w:themeColor="text1"/>
        </w:rPr>
        <w:t>MathGPT</w:t>
      </w:r>
      <w:proofErr w:type="spellEnd"/>
      <w:r w:rsidRPr="00634F9A">
        <w:rPr>
          <w:rFonts w:ascii="Times New Roman" w:hAnsi="Times New Roman"/>
          <w:bCs/>
          <w:color w:val="000000" w:themeColor="text1"/>
        </w:rPr>
        <w:t>. The pronounced rise in results for the Flexi 2.0 group indicates that educators should contemplate employing AI solutions equipped with dynamic engagement or interactive learning functionalities. These findings can provide a foundation for incorporating AI technology into the mathematics curriculum to assist students in both learning and excelling in mathematical problem-solving.</w:t>
      </w:r>
    </w:p>
    <w:p w14:paraId="68DA146B" w14:textId="77777777" w:rsidR="006E7685" w:rsidRPr="006E7685" w:rsidRDefault="006E7685" w:rsidP="006E7685">
      <w:pPr>
        <w:pStyle w:val="ListParagraph"/>
        <w:numPr>
          <w:ilvl w:val="0"/>
          <w:numId w:val="20"/>
        </w:numPr>
        <w:tabs>
          <w:tab w:val="left" w:pos="142"/>
          <w:tab w:val="left" w:pos="720"/>
        </w:tabs>
        <w:spacing w:after="160" w:line="240" w:lineRule="auto"/>
        <w:jc w:val="both"/>
        <w:rPr>
          <w:rFonts w:ascii="Times New Roman" w:hAnsi="Times New Roman"/>
          <w:b/>
          <w:i/>
          <w:iCs/>
          <w:color w:val="000000" w:themeColor="text1"/>
        </w:rPr>
      </w:pPr>
      <w:r w:rsidRPr="006E7685">
        <w:rPr>
          <w:rFonts w:ascii="Times New Roman" w:hAnsi="Times New Roman"/>
          <w:b/>
          <w:color w:val="000000" w:themeColor="text1"/>
        </w:rPr>
        <w:t xml:space="preserve">Comparison between the </w:t>
      </w:r>
      <w:bookmarkStart w:id="2" w:name="_Hlk164114890"/>
      <w:r w:rsidRPr="006E7685">
        <w:rPr>
          <w:rFonts w:ascii="Times New Roman" w:hAnsi="Times New Roman"/>
          <w:b/>
          <w:color w:val="000000" w:themeColor="text1"/>
        </w:rPr>
        <w:t>Performances of Subjects before and After using AI – powered Math Tutors</w:t>
      </w:r>
      <w:bookmarkEnd w:id="2"/>
      <w:r w:rsidRPr="006E7685">
        <w:rPr>
          <w:rFonts w:ascii="Times New Roman" w:hAnsi="Times New Roman"/>
          <w:b/>
          <w:color w:val="000000" w:themeColor="text1"/>
        </w:rPr>
        <w:t xml:space="preserve"> </w:t>
      </w:r>
    </w:p>
    <w:p w14:paraId="114E3F71" w14:textId="0152F1DF" w:rsidR="006E7685" w:rsidRPr="00731AA5" w:rsidRDefault="006E7685" w:rsidP="00731AA5">
      <w:pPr>
        <w:tabs>
          <w:tab w:val="left" w:pos="142"/>
          <w:tab w:val="left" w:pos="720"/>
        </w:tabs>
        <w:spacing w:after="0" w:line="240" w:lineRule="auto"/>
        <w:jc w:val="center"/>
        <w:rPr>
          <w:rFonts w:ascii="Times New Roman" w:hAnsi="Times New Roman"/>
          <w:bCs/>
          <w:color w:val="000000" w:themeColor="text1"/>
        </w:rPr>
      </w:pPr>
      <w:r w:rsidRPr="00731AA5">
        <w:rPr>
          <w:rFonts w:ascii="Times New Roman" w:hAnsi="Times New Roman"/>
          <w:bCs/>
          <w:color w:val="000000" w:themeColor="text1"/>
        </w:rPr>
        <w:t>Table 3</w:t>
      </w:r>
      <w:r w:rsidR="00731AA5">
        <w:rPr>
          <w:rFonts w:ascii="Times New Roman" w:hAnsi="Times New Roman"/>
          <w:bCs/>
          <w:color w:val="000000" w:themeColor="text1"/>
        </w:rPr>
        <w:t xml:space="preserve">. </w:t>
      </w:r>
      <w:r w:rsidRPr="00731AA5">
        <w:rPr>
          <w:rFonts w:ascii="Times New Roman" w:hAnsi="Times New Roman"/>
          <w:bCs/>
          <w:color w:val="000000" w:themeColor="text1"/>
        </w:rPr>
        <w:t xml:space="preserve">Paired Sample T-test Results of the Performances of Subjects before and after using </w:t>
      </w:r>
      <w:proofErr w:type="spellStart"/>
      <w:r w:rsidRPr="00731AA5">
        <w:rPr>
          <w:rFonts w:ascii="Times New Roman" w:hAnsi="Times New Roman"/>
          <w:bCs/>
          <w:color w:val="000000" w:themeColor="text1"/>
        </w:rPr>
        <w:t>MathGPT</w:t>
      </w:r>
      <w:proofErr w:type="spellEnd"/>
    </w:p>
    <w:tbl>
      <w:tblPr>
        <w:tblW w:w="5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771"/>
        <w:gridCol w:w="1793"/>
      </w:tblGrid>
      <w:tr w:rsidR="006E7685" w:rsidRPr="00731AA5" w14:paraId="7FCADA0D" w14:textId="77777777" w:rsidTr="00731AA5">
        <w:trPr>
          <w:trHeight w:val="50"/>
          <w:jc w:val="center"/>
        </w:trPr>
        <w:tc>
          <w:tcPr>
            <w:tcW w:w="2105" w:type="dxa"/>
            <w:tcBorders>
              <w:top w:val="single" w:sz="12" w:space="0" w:color="70AD47" w:themeColor="accent6"/>
              <w:left w:val="nil"/>
              <w:bottom w:val="single" w:sz="12" w:space="0" w:color="70AD47" w:themeColor="accent6"/>
              <w:right w:val="nil"/>
            </w:tcBorders>
            <w:noWrap/>
            <w:hideMark/>
          </w:tcPr>
          <w:p w14:paraId="01E47B1E"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 </w:t>
            </w:r>
          </w:p>
        </w:tc>
        <w:tc>
          <w:tcPr>
            <w:tcW w:w="1771" w:type="dxa"/>
            <w:tcBorders>
              <w:top w:val="single" w:sz="12" w:space="0" w:color="70AD47" w:themeColor="accent6"/>
              <w:left w:val="nil"/>
              <w:bottom w:val="single" w:sz="12" w:space="0" w:color="70AD47" w:themeColor="accent6"/>
              <w:right w:val="nil"/>
            </w:tcBorders>
            <w:noWrap/>
            <w:hideMark/>
          </w:tcPr>
          <w:p w14:paraId="3553CFB1"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Pre - Test</w:t>
            </w:r>
          </w:p>
        </w:tc>
        <w:tc>
          <w:tcPr>
            <w:tcW w:w="1793" w:type="dxa"/>
            <w:tcBorders>
              <w:top w:val="single" w:sz="12" w:space="0" w:color="70AD47" w:themeColor="accent6"/>
              <w:left w:val="nil"/>
              <w:bottom w:val="single" w:sz="12" w:space="0" w:color="70AD47" w:themeColor="accent6"/>
              <w:right w:val="nil"/>
            </w:tcBorders>
            <w:noWrap/>
            <w:hideMark/>
          </w:tcPr>
          <w:p w14:paraId="6B539011"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Post - Test</w:t>
            </w:r>
          </w:p>
        </w:tc>
      </w:tr>
      <w:tr w:rsidR="006E7685" w:rsidRPr="00731AA5" w14:paraId="09099658" w14:textId="77777777" w:rsidTr="00731AA5">
        <w:trPr>
          <w:trHeight w:val="50"/>
          <w:jc w:val="center"/>
        </w:trPr>
        <w:tc>
          <w:tcPr>
            <w:tcW w:w="2105" w:type="dxa"/>
            <w:tcBorders>
              <w:top w:val="single" w:sz="12" w:space="0" w:color="70AD47" w:themeColor="accent6"/>
              <w:left w:val="nil"/>
              <w:bottom w:val="nil"/>
              <w:right w:val="nil"/>
            </w:tcBorders>
            <w:noWrap/>
            <w:hideMark/>
          </w:tcPr>
          <w:p w14:paraId="241C2AEC"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Mean</w:t>
            </w:r>
          </w:p>
        </w:tc>
        <w:tc>
          <w:tcPr>
            <w:tcW w:w="1771" w:type="dxa"/>
            <w:tcBorders>
              <w:top w:val="single" w:sz="12" w:space="0" w:color="70AD47" w:themeColor="accent6"/>
              <w:left w:val="nil"/>
              <w:bottom w:val="nil"/>
              <w:right w:val="nil"/>
            </w:tcBorders>
            <w:noWrap/>
            <w:hideMark/>
          </w:tcPr>
          <w:p w14:paraId="67A75F7F"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12.70</w:t>
            </w:r>
          </w:p>
        </w:tc>
        <w:tc>
          <w:tcPr>
            <w:tcW w:w="1793" w:type="dxa"/>
            <w:tcBorders>
              <w:top w:val="single" w:sz="12" w:space="0" w:color="70AD47" w:themeColor="accent6"/>
              <w:left w:val="nil"/>
              <w:bottom w:val="nil"/>
              <w:right w:val="nil"/>
            </w:tcBorders>
            <w:noWrap/>
            <w:hideMark/>
          </w:tcPr>
          <w:p w14:paraId="1B077B15"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18.40</w:t>
            </w:r>
          </w:p>
        </w:tc>
      </w:tr>
      <w:tr w:rsidR="006E7685" w:rsidRPr="00731AA5" w14:paraId="5B1F21D9" w14:textId="77777777" w:rsidTr="00731AA5">
        <w:trPr>
          <w:trHeight w:val="80"/>
          <w:jc w:val="center"/>
        </w:trPr>
        <w:tc>
          <w:tcPr>
            <w:tcW w:w="2105" w:type="dxa"/>
            <w:tcBorders>
              <w:top w:val="nil"/>
              <w:left w:val="nil"/>
              <w:bottom w:val="nil"/>
              <w:right w:val="nil"/>
            </w:tcBorders>
            <w:noWrap/>
            <w:hideMark/>
          </w:tcPr>
          <w:p w14:paraId="4FD96CE8"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Variance</w:t>
            </w:r>
          </w:p>
        </w:tc>
        <w:tc>
          <w:tcPr>
            <w:tcW w:w="1771" w:type="dxa"/>
            <w:tcBorders>
              <w:top w:val="nil"/>
              <w:left w:val="nil"/>
              <w:bottom w:val="nil"/>
              <w:right w:val="nil"/>
            </w:tcBorders>
            <w:noWrap/>
            <w:hideMark/>
          </w:tcPr>
          <w:p w14:paraId="6333F04C"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16.233</w:t>
            </w:r>
          </w:p>
        </w:tc>
        <w:tc>
          <w:tcPr>
            <w:tcW w:w="1793" w:type="dxa"/>
            <w:tcBorders>
              <w:top w:val="nil"/>
              <w:left w:val="nil"/>
              <w:bottom w:val="nil"/>
              <w:right w:val="nil"/>
            </w:tcBorders>
            <w:noWrap/>
            <w:hideMark/>
          </w:tcPr>
          <w:p w14:paraId="5A9682A7"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22.267</w:t>
            </w:r>
          </w:p>
        </w:tc>
      </w:tr>
      <w:tr w:rsidR="006E7685" w:rsidRPr="00731AA5" w14:paraId="5335B2FE" w14:textId="77777777" w:rsidTr="00731AA5">
        <w:trPr>
          <w:trHeight w:val="274"/>
          <w:jc w:val="center"/>
        </w:trPr>
        <w:tc>
          <w:tcPr>
            <w:tcW w:w="2105" w:type="dxa"/>
            <w:tcBorders>
              <w:top w:val="nil"/>
              <w:left w:val="nil"/>
              <w:bottom w:val="nil"/>
              <w:right w:val="nil"/>
            </w:tcBorders>
            <w:noWrap/>
            <w:hideMark/>
          </w:tcPr>
          <w:p w14:paraId="54627239" w14:textId="77777777" w:rsidR="006E7685" w:rsidRPr="00731AA5" w:rsidRDefault="006E7685" w:rsidP="00077A9C">
            <w:pPr>
              <w:spacing w:after="0"/>
              <w:rPr>
                <w:rFonts w:ascii="Times New Roman" w:hAnsi="Times New Roman"/>
                <w:color w:val="000000" w:themeColor="text1"/>
                <w:lang w:eastAsia="en-SG"/>
              </w:rPr>
            </w:pPr>
            <w:proofErr w:type="spellStart"/>
            <w:r w:rsidRPr="00731AA5">
              <w:rPr>
                <w:rFonts w:ascii="Times New Roman" w:hAnsi="Times New Roman"/>
                <w:color w:val="000000" w:themeColor="text1"/>
                <w:lang w:eastAsia="en-SG"/>
              </w:rPr>
              <w:t>Df</w:t>
            </w:r>
            <w:proofErr w:type="spellEnd"/>
          </w:p>
        </w:tc>
        <w:tc>
          <w:tcPr>
            <w:tcW w:w="1771" w:type="dxa"/>
            <w:tcBorders>
              <w:top w:val="nil"/>
              <w:left w:val="nil"/>
              <w:bottom w:val="nil"/>
              <w:right w:val="nil"/>
            </w:tcBorders>
            <w:noWrap/>
            <w:hideMark/>
          </w:tcPr>
          <w:p w14:paraId="5FC4E03A"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10</w:t>
            </w:r>
          </w:p>
        </w:tc>
        <w:tc>
          <w:tcPr>
            <w:tcW w:w="1793" w:type="dxa"/>
            <w:tcBorders>
              <w:top w:val="nil"/>
              <w:left w:val="nil"/>
              <w:bottom w:val="nil"/>
              <w:right w:val="nil"/>
            </w:tcBorders>
            <w:noWrap/>
            <w:hideMark/>
          </w:tcPr>
          <w:p w14:paraId="1EDB0403"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10</w:t>
            </w:r>
          </w:p>
        </w:tc>
      </w:tr>
      <w:tr w:rsidR="006E7685" w:rsidRPr="00731AA5" w14:paraId="3BABAA89" w14:textId="77777777" w:rsidTr="00731AA5">
        <w:trPr>
          <w:trHeight w:val="274"/>
          <w:jc w:val="center"/>
        </w:trPr>
        <w:tc>
          <w:tcPr>
            <w:tcW w:w="2105" w:type="dxa"/>
            <w:tcBorders>
              <w:top w:val="nil"/>
              <w:left w:val="nil"/>
              <w:bottom w:val="nil"/>
              <w:right w:val="nil"/>
            </w:tcBorders>
            <w:noWrap/>
            <w:hideMark/>
          </w:tcPr>
          <w:p w14:paraId="4E209430"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level of confidence</w:t>
            </w:r>
          </w:p>
        </w:tc>
        <w:tc>
          <w:tcPr>
            <w:tcW w:w="3564" w:type="dxa"/>
            <w:gridSpan w:val="2"/>
            <w:tcBorders>
              <w:top w:val="nil"/>
              <w:left w:val="nil"/>
              <w:bottom w:val="nil"/>
              <w:right w:val="nil"/>
            </w:tcBorders>
            <w:noWrap/>
            <w:hideMark/>
          </w:tcPr>
          <w:p w14:paraId="52E1CE14"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5%, two-tailed</w:t>
            </w:r>
          </w:p>
        </w:tc>
      </w:tr>
      <w:tr w:rsidR="006E7685" w:rsidRPr="00731AA5" w14:paraId="6F66A2C2" w14:textId="77777777" w:rsidTr="00731AA5">
        <w:trPr>
          <w:trHeight w:val="274"/>
          <w:jc w:val="center"/>
        </w:trPr>
        <w:tc>
          <w:tcPr>
            <w:tcW w:w="2105" w:type="dxa"/>
            <w:tcBorders>
              <w:top w:val="nil"/>
              <w:left w:val="nil"/>
              <w:bottom w:val="nil"/>
              <w:right w:val="nil"/>
            </w:tcBorders>
            <w:noWrap/>
            <w:hideMark/>
          </w:tcPr>
          <w:p w14:paraId="43BA185F"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t-crit</w:t>
            </w:r>
          </w:p>
        </w:tc>
        <w:tc>
          <w:tcPr>
            <w:tcW w:w="3564" w:type="dxa"/>
            <w:gridSpan w:val="2"/>
            <w:tcBorders>
              <w:top w:val="nil"/>
              <w:left w:val="nil"/>
              <w:bottom w:val="nil"/>
              <w:right w:val="nil"/>
            </w:tcBorders>
            <w:noWrap/>
            <w:hideMark/>
          </w:tcPr>
          <w:p w14:paraId="5545BCBE" w14:textId="77777777" w:rsidR="006E7685" w:rsidRPr="00731AA5" w:rsidRDefault="006E7685" w:rsidP="00077A9C">
            <w:pPr>
              <w:spacing w:after="0"/>
              <w:jc w:val="center"/>
              <w:rPr>
                <w:rFonts w:ascii="Times New Roman" w:hAnsi="Times New Roman"/>
                <w:color w:val="000000" w:themeColor="text1"/>
                <w:lang w:eastAsia="en-SG"/>
              </w:rPr>
            </w:pPr>
            <w:r w:rsidRPr="00731AA5">
              <w:rPr>
                <w:rFonts w:ascii="Times New Roman" w:hAnsi="Times New Roman"/>
                <w:color w:val="000000" w:themeColor="text1"/>
                <w:lang w:eastAsia="en-SG"/>
              </w:rPr>
              <w:t>2.262</w:t>
            </w:r>
          </w:p>
        </w:tc>
      </w:tr>
      <w:tr w:rsidR="006E7685" w:rsidRPr="00731AA5" w14:paraId="26F80834" w14:textId="77777777" w:rsidTr="00731AA5">
        <w:trPr>
          <w:trHeight w:val="274"/>
          <w:jc w:val="center"/>
        </w:trPr>
        <w:tc>
          <w:tcPr>
            <w:tcW w:w="2105" w:type="dxa"/>
            <w:tcBorders>
              <w:top w:val="nil"/>
              <w:left w:val="nil"/>
              <w:bottom w:val="nil"/>
              <w:right w:val="nil"/>
            </w:tcBorders>
            <w:noWrap/>
            <w:hideMark/>
          </w:tcPr>
          <w:p w14:paraId="4F7ECF3B"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t-comp</w:t>
            </w:r>
          </w:p>
        </w:tc>
        <w:tc>
          <w:tcPr>
            <w:tcW w:w="3564" w:type="dxa"/>
            <w:gridSpan w:val="2"/>
            <w:tcBorders>
              <w:top w:val="nil"/>
              <w:left w:val="nil"/>
              <w:bottom w:val="nil"/>
              <w:right w:val="nil"/>
            </w:tcBorders>
            <w:noWrap/>
            <w:hideMark/>
          </w:tcPr>
          <w:p w14:paraId="4EE0F3DB" w14:textId="77777777" w:rsidR="006E7685" w:rsidRPr="00731AA5" w:rsidRDefault="006E7685" w:rsidP="00077A9C">
            <w:pPr>
              <w:spacing w:after="0"/>
              <w:jc w:val="center"/>
              <w:rPr>
                <w:rFonts w:ascii="Times New Roman" w:hAnsi="Times New Roman"/>
                <w:color w:val="000000" w:themeColor="text1"/>
                <w:lang w:eastAsia="en-SG"/>
              </w:rPr>
            </w:pPr>
            <w:r w:rsidRPr="00731AA5">
              <w:rPr>
                <w:rFonts w:ascii="Times New Roman" w:hAnsi="Times New Roman"/>
                <w:color w:val="000000" w:themeColor="text1"/>
                <w:lang w:eastAsia="en-SG"/>
              </w:rPr>
              <w:t>-9.544</w:t>
            </w:r>
          </w:p>
        </w:tc>
      </w:tr>
      <w:tr w:rsidR="006E7685" w:rsidRPr="00731AA5" w14:paraId="2035D29A" w14:textId="77777777" w:rsidTr="00731AA5">
        <w:trPr>
          <w:trHeight w:val="274"/>
          <w:jc w:val="center"/>
        </w:trPr>
        <w:tc>
          <w:tcPr>
            <w:tcW w:w="2105" w:type="dxa"/>
            <w:tcBorders>
              <w:top w:val="nil"/>
              <w:left w:val="nil"/>
              <w:bottom w:val="single" w:sz="12" w:space="0" w:color="70AD47" w:themeColor="accent6"/>
              <w:right w:val="nil"/>
            </w:tcBorders>
            <w:noWrap/>
            <w:hideMark/>
          </w:tcPr>
          <w:p w14:paraId="145F7F18"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Decision</w:t>
            </w:r>
          </w:p>
        </w:tc>
        <w:tc>
          <w:tcPr>
            <w:tcW w:w="3564" w:type="dxa"/>
            <w:gridSpan w:val="2"/>
            <w:tcBorders>
              <w:top w:val="nil"/>
              <w:left w:val="nil"/>
              <w:bottom w:val="single" w:sz="12" w:space="0" w:color="70AD47" w:themeColor="accent6"/>
              <w:right w:val="nil"/>
            </w:tcBorders>
            <w:noWrap/>
            <w:hideMark/>
          </w:tcPr>
          <w:p w14:paraId="2E9B8B25" w14:textId="77777777" w:rsidR="006E7685" w:rsidRPr="00731AA5" w:rsidRDefault="006E7685" w:rsidP="00077A9C">
            <w:pPr>
              <w:spacing w:after="0"/>
              <w:jc w:val="center"/>
              <w:rPr>
                <w:rFonts w:ascii="Times New Roman" w:hAnsi="Times New Roman"/>
                <w:color w:val="000000" w:themeColor="text1"/>
                <w:lang w:eastAsia="en-SG"/>
              </w:rPr>
            </w:pPr>
            <w:r w:rsidRPr="00731AA5">
              <w:rPr>
                <w:rFonts w:ascii="Times New Roman" w:hAnsi="Times New Roman"/>
                <w:color w:val="000000" w:themeColor="text1"/>
                <w:lang w:eastAsia="en-SG"/>
              </w:rPr>
              <w:t>Reject Ho</w:t>
            </w:r>
          </w:p>
        </w:tc>
      </w:tr>
      <w:tr w:rsidR="006E7685" w:rsidRPr="00731AA5" w14:paraId="0E910128" w14:textId="77777777" w:rsidTr="00731AA5">
        <w:trPr>
          <w:trHeight w:val="294"/>
          <w:jc w:val="center"/>
        </w:trPr>
        <w:tc>
          <w:tcPr>
            <w:tcW w:w="2105" w:type="dxa"/>
            <w:tcBorders>
              <w:top w:val="single" w:sz="12" w:space="0" w:color="70AD47" w:themeColor="accent6"/>
              <w:left w:val="nil"/>
              <w:bottom w:val="single" w:sz="12" w:space="0" w:color="70AD47" w:themeColor="accent6"/>
              <w:right w:val="nil"/>
            </w:tcBorders>
            <w:noWrap/>
            <w:hideMark/>
          </w:tcPr>
          <w:p w14:paraId="4BDD0E59"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Interpretation</w:t>
            </w:r>
          </w:p>
        </w:tc>
        <w:tc>
          <w:tcPr>
            <w:tcW w:w="3564" w:type="dxa"/>
            <w:gridSpan w:val="2"/>
            <w:tcBorders>
              <w:top w:val="single" w:sz="12" w:space="0" w:color="70AD47" w:themeColor="accent6"/>
              <w:left w:val="nil"/>
              <w:bottom w:val="single" w:sz="12" w:space="0" w:color="70AD47" w:themeColor="accent6"/>
              <w:right w:val="nil"/>
            </w:tcBorders>
            <w:noWrap/>
            <w:hideMark/>
          </w:tcPr>
          <w:p w14:paraId="7A7C5335" w14:textId="77777777" w:rsidR="006E7685" w:rsidRPr="00731AA5" w:rsidRDefault="006E7685" w:rsidP="00077A9C">
            <w:pPr>
              <w:spacing w:after="0"/>
              <w:jc w:val="center"/>
              <w:rPr>
                <w:rFonts w:ascii="Times New Roman" w:hAnsi="Times New Roman"/>
                <w:color w:val="000000" w:themeColor="text1"/>
                <w:lang w:eastAsia="en-SG"/>
              </w:rPr>
            </w:pPr>
            <w:r w:rsidRPr="00731AA5">
              <w:rPr>
                <w:rFonts w:ascii="Times New Roman" w:hAnsi="Times New Roman"/>
                <w:color w:val="000000" w:themeColor="text1"/>
                <w:lang w:eastAsia="en-SG"/>
              </w:rPr>
              <w:t>Significant</w:t>
            </w:r>
          </w:p>
        </w:tc>
      </w:tr>
    </w:tbl>
    <w:p w14:paraId="37676B6C" w14:textId="77777777" w:rsidR="00731AA5" w:rsidRDefault="00731AA5" w:rsidP="00634F9A">
      <w:pPr>
        <w:tabs>
          <w:tab w:val="left" w:pos="0"/>
          <w:tab w:val="left" w:pos="720"/>
        </w:tabs>
        <w:spacing w:line="240" w:lineRule="auto"/>
        <w:jc w:val="both"/>
        <w:rPr>
          <w:rFonts w:ascii="Times New Roman" w:hAnsi="Times New Roman"/>
          <w:color w:val="000000" w:themeColor="text1"/>
        </w:rPr>
      </w:pPr>
    </w:p>
    <w:p w14:paraId="4D7188CD" w14:textId="3011D6BA" w:rsidR="00634F9A" w:rsidRDefault="006E7685" w:rsidP="00634F9A">
      <w:pPr>
        <w:tabs>
          <w:tab w:val="left" w:pos="0"/>
          <w:tab w:val="left" w:pos="720"/>
        </w:tabs>
        <w:spacing w:line="240" w:lineRule="auto"/>
        <w:jc w:val="both"/>
        <w:rPr>
          <w:rFonts w:ascii="Times New Roman" w:hAnsi="Times New Roman"/>
          <w:color w:val="000000" w:themeColor="text1"/>
        </w:rPr>
      </w:pPr>
      <w:r w:rsidRPr="006E7685">
        <w:rPr>
          <w:rFonts w:ascii="Times New Roman" w:hAnsi="Times New Roman"/>
          <w:color w:val="000000" w:themeColor="text1"/>
        </w:rPr>
        <w:tab/>
      </w:r>
      <w:r w:rsidR="00634F9A" w:rsidRPr="00634F9A">
        <w:rPr>
          <w:rFonts w:ascii="Times New Roman" w:hAnsi="Times New Roman"/>
          <w:color w:val="000000" w:themeColor="text1"/>
        </w:rPr>
        <w:t xml:space="preserve">The findings of the paired sample t-test displayed in Table 3 indicate a significant enhancement in student performance following exposure to </w:t>
      </w:r>
      <w:proofErr w:type="spellStart"/>
      <w:r w:rsidR="00634F9A" w:rsidRPr="00634F9A">
        <w:rPr>
          <w:rFonts w:ascii="Times New Roman" w:hAnsi="Times New Roman"/>
          <w:color w:val="000000" w:themeColor="text1"/>
        </w:rPr>
        <w:t>MathGPT</w:t>
      </w:r>
      <w:proofErr w:type="spellEnd"/>
      <w:r w:rsidR="00634F9A" w:rsidRPr="00634F9A">
        <w:rPr>
          <w:rFonts w:ascii="Times New Roman" w:hAnsi="Times New Roman"/>
          <w:color w:val="000000" w:themeColor="text1"/>
        </w:rPr>
        <w:t xml:space="preserve"> as an AI tutor. The average pre-test score of 12.70 increased to 18.40 in the post-test. The calculated t-value of -9.544 surpassed the crucial t-value of 2.262, resulting in the rejection of the null hypothesis. This signifies a statistically significant difference between the pre-test and post-test results, indicating that the utilization of </w:t>
      </w:r>
      <w:proofErr w:type="spellStart"/>
      <w:r w:rsidR="00634F9A" w:rsidRPr="00634F9A">
        <w:rPr>
          <w:rFonts w:ascii="Times New Roman" w:hAnsi="Times New Roman"/>
          <w:color w:val="000000" w:themeColor="text1"/>
        </w:rPr>
        <w:t>MathGPT</w:t>
      </w:r>
      <w:proofErr w:type="spellEnd"/>
      <w:r w:rsidR="00634F9A" w:rsidRPr="00634F9A">
        <w:rPr>
          <w:rFonts w:ascii="Times New Roman" w:hAnsi="Times New Roman"/>
          <w:color w:val="000000" w:themeColor="text1"/>
        </w:rPr>
        <w:t xml:space="preserve"> positively influenced student performance in mathematics.</w:t>
      </w:r>
    </w:p>
    <w:p w14:paraId="28EE0EFB" w14:textId="77777777" w:rsidR="00634F9A" w:rsidRDefault="00634F9A" w:rsidP="00634F9A">
      <w:pPr>
        <w:tabs>
          <w:tab w:val="left" w:pos="0"/>
          <w:tab w:val="left" w:pos="720"/>
        </w:tabs>
        <w:spacing w:line="240" w:lineRule="auto"/>
        <w:jc w:val="both"/>
        <w:rPr>
          <w:rFonts w:ascii="Times New Roman" w:hAnsi="Times New Roman"/>
          <w:color w:val="000000" w:themeColor="text1"/>
        </w:rPr>
      </w:pPr>
      <w:r>
        <w:rPr>
          <w:rFonts w:ascii="Times New Roman" w:hAnsi="Times New Roman"/>
          <w:color w:val="000000" w:themeColor="text1"/>
        </w:rPr>
        <w:tab/>
      </w:r>
      <w:r w:rsidRPr="00634F9A">
        <w:rPr>
          <w:rFonts w:ascii="Times New Roman" w:hAnsi="Times New Roman"/>
          <w:color w:val="000000" w:themeColor="text1"/>
        </w:rPr>
        <w:t xml:space="preserve">The substantial rise in scores indicates that </w:t>
      </w:r>
      <w:proofErr w:type="spellStart"/>
      <w:r w:rsidRPr="00634F9A">
        <w:rPr>
          <w:rFonts w:ascii="Times New Roman" w:hAnsi="Times New Roman"/>
          <w:color w:val="000000" w:themeColor="text1"/>
        </w:rPr>
        <w:t>MathGPT</w:t>
      </w:r>
      <w:proofErr w:type="spellEnd"/>
      <w:r w:rsidRPr="00634F9A">
        <w:rPr>
          <w:rFonts w:ascii="Times New Roman" w:hAnsi="Times New Roman"/>
          <w:color w:val="000000" w:themeColor="text1"/>
        </w:rPr>
        <w:t xml:space="preserve"> enhanced students' comprehension and problem-solving abilities in mathematics, as demonstrated by the improved post-test outcomes. This discovery is significant as it demonstrates the capacity of AI-driven tutors to enhance academic development in disciplines such as mathematics, where conceptual challenges frequently occur. The emotional reactions of students throughout the trial, ranging from perplexity in the pre-test to enjoyment and confidence in the post-test, underscore the impact of AI in alleviating fear and enhancing student engagement.</w:t>
      </w:r>
    </w:p>
    <w:p w14:paraId="2B2FB661" w14:textId="77777777" w:rsidR="00634F9A" w:rsidRDefault="00634F9A" w:rsidP="00634F9A">
      <w:pPr>
        <w:tabs>
          <w:tab w:val="left" w:pos="0"/>
          <w:tab w:val="left" w:pos="720"/>
        </w:tabs>
        <w:spacing w:line="240" w:lineRule="auto"/>
        <w:jc w:val="both"/>
        <w:rPr>
          <w:rFonts w:ascii="Times New Roman" w:hAnsi="Times New Roman"/>
          <w:color w:val="000000" w:themeColor="text1"/>
        </w:rPr>
      </w:pPr>
      <w:r>
        <w:rPr>
          <w:rFonts w:ascii="Times New Roman" w:hAnsi="Times New Roman"/>
          <w:color w:val="000000" w:themeColor="text1"/>
        </w:rPr>
        <w:tab/>
      </w:r>
      <w:r w:rsidRPr="00634F9A">
        <w:rPr>
          <w:rFonts w:ascii="Times New Roman" w:hAnsi="Times New Roman"/>
          <w:color w:val="000000" w:themeColor="text1"/>
        </w:rPr>
        <w:t xml:space="preserve">These findings align with prior studies regarding the efficacy of AI in improving educational attainment. Hwang and Tu (2021) discovered that artificial intelligence techniques, when implemented in mathematics instruction, may markedly enhance student comprehension and retention. The noted favorable student responses, including heightened confidence and enjoyment, correspond with the conclusions of Bray &amp; Tangney (2017), who indicated that AI tools can diminish cognitive burden and enhance the interactivity and enjoyment of learning. </w:t>
      </w:r>
      <w:proofErr w:type="spellStart"/>
      <w:r w:rsidRPr="00634F9A">
        <w:rPr>
          <w:rFonts w:ascii="Times New Roman" w:hAnsi="Times New Roman"/>
          <w:color w:val="000000" w:themeColor="text1"/>
        </w:rPr>
        <w:t>Voskoglou</w:t>
      </w:r>
      <w:proofErr w:type="spellEnd"/>
      <w:r w:rsidRPr="00634F9A">
        <w:rPr>
          <w:rFonts w:ascii="Times New Roman" w:hAnsi="Times New Roman"/>
          <w:color w:val="000000" w:themeColor="text1"/>
        </w:rPr>
        <w:t xml:space="preserve"> &amp; Salem (2020) emphasized that AI-powered instructors' capacity to tailor their approach to unique student requirements can enhance problem-solving skills through individualized feedback.</w:t>
      </w:r>
    </w:p>
    <w:p w14:paraId="6BE61A65" w14:textId="607463B4" w:rsidR="006E7685" w:rsidRPr="006E7685" w:rsidRDefault="00634F9A" w:rsidP="00634F9A">
      <w:pPr>
        <w:tabs>
          <w:tab w:val="left" w:pos="0"/>
          <w:tab w:val="left" w:pos="720"/>
        </w:tabs>
        <w:spacing w:line="240" w:lineRule="auto"/>
        <w:jc w:val="both"/>
        <w:rPr>
          <w:rFonts w:ascii="Times New Roman" w:hAnsi="Times New Roman"/>
          <w:color w:val="000000" w:themeColor="text1"/>
        </w:rPr>
      </w:pPr>
      <w:r>
        <w:rPr>
          <w:rFonts w:ascii="Times New Roman" w:hAnsi="Times New Roman"/>
          <w:color w:val="000000" w:themeColor="text1"/>
        </w:rPr>
        <w:tab/>
      </w:r>
      <w:r w:rsidRPr="00634F9A">
        <w:rPr>
          <w:rFonts w:ascii="Times New Roman" w:hAnsi="Times New Roman"/>
          <w:color w:val="000000" w:themeColor="text1"/>
        </w:rPr>
        <w:t xml:space="preserve">This study's results indicate that AI-powered tutors, such as </w:t>
      </w:r>
      <w:proofErr w:type="spellStart"/>
      <w:r w:rsidRPr="00634F9A">
        <w:rPr>
          <w:rFonts w:ascii="Times New Roman" w:hAnsi="Times New Roman"/>
          <w:color w:val="000000" w:themeColor="text1"/>
        </w:rPr>
        <w:t>MathGPT</w:t>
      </w:r>
      <w:proofErr w:type="spellEnd"/>
      <w:r w:rsidRPr="00634F9A">
        <w:rPr>
          <w:rFonts w:ascii="Times New Roman" w:hAnsi="Times New Roman"/>
          <w:color w:val="000000" w:themeColor="text1"/>
        </w:rPr>
        <w:t>, can significantly enhance student performance in mathematics. The notable rise in post-test results indicates that AI technologies can improve student comprehension of intricate mathematical ideas, potentially leading to greater overall academic success. The emotional responses noted during the experiment—where students shifted from annoyance to enjoyment—highlight the capacity of AI tools to foster a more engaging and less stressful educational atmosphere.</w:t>
      </w:r>
    </w:p>
    <w:p w14:paraId="758F7DBD" w14:textId="08557836" w:rsidR="006E7685" w:rsidRPr="00731AA5" w:rsidRDefault="006E7685" w:rsidP="00731AA5">
      <w:pPr>
        <w:tabs>
          <w:tab w:val="left" w:pos="142"/>
          <w:tab w:val="left" w:pos="720"/>
        </w:tabs>
        <w:spacing w:after="0" w:line="240" w:lineRule="auto"/>
        <w:jc w:val="center"/>
        <w:rPr>
          <w:rFonts w:ascii="Times New Roman" w:hAnsi="Times New Roman"/>
          <w:bCs/>
          <w:color w:val="000000" w:themeColor="text1"/>
        </w:rPr>
      </w:pPr>
      <w:r w:rsidRPr="00731AA5">
        <w:rPr>
          <w:rFonts w:ascii="Times New Roman" w:hAnsi="Times New Roman"/>
          <w:bCs/>
          <w:color w:val="000000" w:themeColor="text1"/>
        </w:rPr>
        <w:t>Table 4</w:t>
      </w:r>
      <w:r w:rsidR="00731AA5">
        <w:rPr>
          <w:rFonts w:ascii="Times New Roman" w:hAnsi="Times New Roman"/>
          <w:bCs/>
          <w:color w:val="000000" w:themeColor="text1"/>
        </w:rPr>
        <w:t xml:space="preserve">. </w:t>
      </w:r>
      <w:r w:rsidRPr="00731AA5">
        <w:rPr>
          <w:rFonts w:ascii="Times New Roman" w:hAnsi="Times New Roman"/>
          <w:bCs/>
          <w:color w:val="000000" w:themeColor="text1"/>
        </w:rPr>
        <w:t>Paired Sample T-test Results of the Performances of Subjects before and after using Flexi 2.0</w:t>
      </w:r>
    </w:p>
    <w:tbl>
      <w:tblPr>
        <w:tblW w:w="5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749"/>
        <w:gridCol w:w="1769"/>
      </w:tblGrid>
      <w:tr w:rsidR="006E7685" w:rsidRPr="00731AA5" w14:paraId="5B5015EE" w14:textId="77777777" w:rsidTr="00731AA5">
        <w:trPr>
          <w:trHeight w:val="276"/>
          <w:jc w:val="center"/>
        </w:trPr>
        <w:tc>
          <w:tcPr>
            <w:tcW w:w="1936" w:type="dxa"/>
            <w:tcBorders>
              <w:top w:val="single" w:sz="12" w:space="0" w:color="70AD47" w:themeColor="accent6"/>
              <w:left w:val="nil"/>
              <w:bottom w:val="single" w:sz="12" w:space="0" w:color="70AD47" w:themeColor="accent6"/>
              <w:right w:val="nil"/>
            </w:tcBorders>
            <w:noWrap/>
            <w:hideMark/>
          </w:tcPr>
          <w:p w14:paraId="1CD7AEFA"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 </w:t>
            </w:r>
          </w:p>
        </w:tc>
        <w:tc>
          <w:tcPr>
            <w:tcW w:w="1749" w:type="dxa"/>
            <w:tcBorders>
              <w:top w:val="single" w:sz="12" w:space="0" w:color="70AD47" w:themeColor="accent6"/>
              <w:left w:val="nil"/>
              <w:bottom w:val="single" w:sz="12" w:space="0" w:color="70AD47" w:themeColor="accent6"/>
              <w:right w:val="nil"/>
            </w:tcBorders>
            <w:noWrap/>
            <w:hideMark/>
          </w:tcPr>
          <w:p w14:paraId="19607547"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Pre - Test</w:t>
            </w:r>
          </w:p>
        </w:tc>
        <w:tc>
          <w:tcPr>
            <w:tcW w:w="1769" w:type="dxa"/>
            <w:tcBorders>
              <w:top w:val="single" w:sz="12" w:space="0" w:color="70AD47" w:themeColor="accent6"/>
              <w:left w:val="nil"/>
              <w:bottom w:val="single" w:sz="12" w:space="0" w:color="70AD47" w:themeColor="accent6"/>
              <w:right w:val="nil"/>
            </w:tcBorders>
            <w:noWrap/>
            <w:hideMark/>
          </w:tcPr>
          <w:p w14:paraId="247FF112"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Post - Test</w:t>
            </w:r>
          </w:p>
        </w:tc>
      </w:tr>
      <w:tr w:rsidR="006E7685" w:rsidRPr="00731AA5" w14:paraId="2AA85AEB" w14:textId="77777777" w:rsidTr="00731AA5">
        <w:trPr>
          <w:trHeight w:val="276"/>
          <w:jc w:val="center"/>
        </w:trPr>
        <w:tc>
          <w:tcPr>
            <w:tcW w:w="1936" w:type="dxa"/>
            <w:tcBorders>
              <w:top w:val="single" w:sz="12" w:space="0" w:color="70AD47" w:themeColor="accent6"/>
              <w:left w:val="nil"/>
              <w:bottom w:val="nil"/>
              <w:right w:val="nil"/>
            </w:tcBorders>
            <w:noWrap/>
            <w:hideMark/>
          </w:tcPr>
          <w:p w14:paraId="2A6635DC"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Mean</w:t>
            </w:r>
          </w:p>
        </w:tc>
        <w:tc>
          <w:tcPr>
            <w:tcW w:w="1749" w:type="dxa"/>
            <w:tcBorders>
              <w:top w:val="single" w:sz="12" w:space="0" w:color="70AD47" w:themeColor="accent6"/>
              <w:left w:val="nil"/>
              <w:bottom w:val="nil"/>
              <w:right w:val="nil"/>
            </w:tcBorders>
            <w:noWrap/>
            <w:hideMark/>
          </w:tcPr>
          <w:p w14:paraId="2E2D1011"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12.60</w:t>
            </w:r>
          </w:p>
        </w:tc>
        <w:tc>
          <w:tcPr>
            <w:tcW w:w="1769" w:type="dxa"/>
            <w:tcBorders>
              <w:top w:val="single" w:sz="12" w:space="0" w:color="70AD47" w:themeColor="accent6"/>
              <w:left w:val="nil"/>
              <w:bottom w:val="nil"/>
              <w:right w:val="nil"/>
            </w:tcBorders>
            <w:noWrap/>
            <w:hideMark/>
          </w:tcPr>
          <w:p w14:paraId="11CE192C"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21.00</w:t>
            </w:r>
          </w:p>
        </w:tc>
      </w:tr>
      <w:tr w:rsidR="006E7685" w:rsidRPr="00731AA5" w14:paraId="21DC47BB" w14:textId="77777777" w:rsidTr="00731AA5">
        <w:trPr>
          <w:trHeight w:val="276"/>
          <w:jc w:val="center"/>
        </w:trPr>
        <w:tc>
          <w:tcPr>
            <w:tcW w:w="1936" w:type="dxa"/>
            <w:tcBorders>
              <w:top w:val="nil"/>
              <w:left w:val="nil"/>
              <w:bottom w:val="nil"/>
              <w:right w:val="nil"/>
            </w:tcBorders>
            <w:noWrap/>
            <w:hideMark/>
          </w:tcPr>
          <w:p w14:paraId="17B4AA1D"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Variance</w:t>
            </w:r>
          </w:p>
        </w:tc>
        <w:tc>
          <w:tcPr>
            <w:tcW w:w="1749" w:type="dxa"/>
            <w:tcBorders>
              <w:top w:val="nil"/>
              <w:left w:val="nil"/>
              <w:bottom w:val="nil"/>
              <w:right w:val="nil"/>
            </w:tcBorders>
            <w:noWrap/>
            <w:hideMark/>
          </w:tcPr>
          <w:p w14:paraId="08EECB9E"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17.378</w:t>
            </w:r>
          </w:p>
        </w:tc>
        <w:tc>
          <w:tcPr>
            <w:tcW w:w="1769" w:type="dxa"/>
            <w:tcBorders>
              <w:top w:val="nil"/>
              <w:left w:val="nil"/>
              <w:bottom w:val="nil"/>
              <w:right w:val="nil"/>
            </w:tcBorders>
            <w:noWrap/>
            <w:hideMark/>
          </w:tcPr>
          <w:p w14:paraId="4C061EE6"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26.222</w:t>
            </w:r>
          </w:p>
        </w:tc>
      </w:tr>
      <w:tr w:rsidR="006E7685" w:rsidRPr="00731AA5" w14:paraId="1B7E9199" w14:textId="77777777" w:rsidTr="00731AA5">
        <w:trPr>
          <w:trHeight w:val="276"/>
          <w:jc w:val="center"/>
        </w:trPr>
        <w:tc>
          <w:tcPr>
            <w:tcW w:w="1936" w:type="dxa"/>
            <w:tcBorders>
              <w:top w:val="nil"/>
              <w:left w:val="nil"/>
              <w:bottom w:val="nil"/>
              <w:right w:val="nil"/>
            </w:tcBorders>
            <w:noWrap/>
            <w:hideMark/>
          </w:tcPr>
          <w:p w14:paraId="1AB8932C" w14:textId="77777777" w:rsidR="006E7685" w:rsidRPr="00731AA5" w:rsidRDefault="006E7685" w:rsidP="00077A9C">
            <w:pPr>
              <w:spacing w:after="0"/>
              <w:rPr>
                <w:rFonts w:ascii="Times New Roman" w:hAnsi="Times New Roman"/>
                <w:color w:val="000000" w:themeColor="text1"/>
                <w:lang w:eastAsia="en-SG"/>
              </w:rPr>
            </w:pPr>
            <w:proofErr w:type="spellStart"/>
            <w:r w:rsidRPr="00731AA5">
              <w:rPr>
                <w:rFonts w:ascii="Times New Roman" w:hAnsi="Times New Roman"/>
                <w:color w:val="000000" w:themeColor="text1"/>
                <w:lang w:eastAsia="en-SG"/>
              </w:rPr>
              <w:t>Df</w:t>
            </w:r>
            <w:proofErr w:type="spellEnd"/>
          </w:p>
        </w:tc>
        <w:tc>
          <w:tcPr>
            <w:tcW w:w="1749" w:type="dxa"/>
            <w:tcBorders>
              <w:top w:val="nil"/>
              <w:left w:val="nil"/>
              <w:bottom w:val="nil"/>
              <w:right w:val="nil"/>
            </w:tcBorders>
            <w:noWrap/>
            <w:hideMark/>
          </w:tcPr>
          <w:p w14:paraId="35F2C857"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10</w:t>
            </w:r>
          </w:p>
        </w:tc>
        <w:tc>
          <w:tcPr>
            <w:tcW w:w="1769" w:type="dxa"/>
            <w:tcBorders>
              <w:top w:val="nil"/>
              <w:left w:val="nil"/>
              <w:bottom w:val="nil"/>
              <w:right w:val="nil"/>
            </w:tcBorders>
            <w:noWrap/>
            <w:hideMark/>
          </w:tcPr>
          <w:p w14:paraId="3DFC84C7"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10</w:t>
            </w:r>
          </w:p>
        </w:tc>
      </w:tr>
      <w:tr w:rsidR="006E7685" w:rsidRPr="00731AA5" w14:paraId="60F224ED" w14:textId="77777777" w:rsidTr="00731AA5">
        <w:trPr>
          <w:trHeight w:val="276"/>
          <w:jc w:val="center"/>
        </w:trPr>
        <w:tc>
          <w:tcPr>
            <w:tcW w:w="1936" w:type="dxa"/>
            <w:tcBorders>
              <w:top w:val="nil"/>
              <w:left w:val="nil"/>
              <w:bottom w:val="nil"/>
              <w:right w:val="nil"/>
            </w:tcBorders>
            <w:noWrap/>
            <w:hideMark/>
          </w:tcPr>
          <w:p w14:paraId="61A4631C"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level of confidence</w:t>
            </w:r>
          </w:p>
        </w:tc>
        <w:tc>
          <w:tcPr>
            <w:tcW w:w="3518" w:type="dxa"/>
            <w:gridSpan w:val="2"/>
            <w:tcBorders>
              <w:top w:val="nil"/>
              <w:left w:val="nil"/>
              <w:bottom w:val="nil"/>
              <w:right w:val="nil"/>
            </w:tcBorders>
            <w:noWrap/>
            <w:hideMark/>
          </w:tcPr>
          <w:p w14:paraId="7A7B22C7"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5%, two-tailed</w:t>
            </w:r>
          </w:p>
        </w:tc>
      </w:tr>
      <w:tr w:rsidR="006E7685" w:rsidRPr="00731AA5" w14:paraId="1DC98163" w14:textId="77777777" w:rsidTr="00731AA5">
        <w:trPr>
          <w:trHeight w:val="276"/>
          <w:jc w:val="center"/>
        </w:trPr>
        <w:tc>
          <w:tcPr>
            <w:tcW w:w="1936" w:type="dxa"/>
            <w:tcBorders>
              <w:top w:val="nil"/>
              <w:left w:val="nil"/>
              <w:bottom w:val="nil"/>
              <w:right w:val="nil"/>
            </w:tcBorders>
            <w:noWrap/>
            <w:hideMark/>
          </w:tcPr>
          <w:p w14:paraId="447F8305"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t-crit</w:t>
            </w:r>
          </w:p>
        </w:tc>
        <w:tc>
          <w:tcPr>
            <w:tcW w:w="3518" w:type="dxa"/>
            <w:gridSpan w:val="2"/>
            <w:tcBorders>
              <w:top w:val="nil"/>
              <w:left w:val="nil"/>
              <w:bottom w:val="nil"/>
              <w:right w:val="nil"/>
            </w:tcBorders>
            <w:noWrap/>
            <w:hideMark/>
          </w:tcPr>
          <w:p w14:paraId="6AD2385F" w14:textId="77777777" w:rsidR="006E7685" w:rsidRPr="00731AA5" w:rsidRDefault="006E7685" w:rsidP="00077A9C">
            <w:pPr>
              <w:spacing w:after="0"/>
              <w:jc w:val="center"/>
              <w:rPr>
                <w:rFonts w:ascii="Times New Roman" w:hAnsi="Times New Roman"/>
                <w:color w:val="000000" w:themeColor="text1"/>
                <w:lang w:eastAsia="en-SG"/>
              </w:rPr>
            </w:pPr>
            <w:r w:rsidRPr="00731AA5">
              <w:rPr>
                <w:rFonts w:ascii="Times New Roman" w:hAnsi="Times New Roman"/>
                <w:color w:val="000000" w:themeColor="text1"/>
                <w:lang w:eastAsia="en-SG"/>
              </w:rPr>
              <w:t>2.262</w:t>
            </w:r>
          </w:p>
        </w:tc>
      </w:tr>
      <w:tr w:rsidR="006E7685" w:rsidRPr="00731AA5" w14:paraId="297EB0C1" w14:textId="77777777" w:rsidTr="00731AA5">
        <w:trPr>
          <w:trHeight w:val="276"/>
          <w:jc w:val="center"/>
        </w:trPr>
        <w:tc>
          <w:tcPr>
            <w:tcW w:w="1936" w:type="dxa"/>
            <w:tcBorders>
              <w:top w:val="nil"/>
              <w:left w:val="nil"/>
              <w:bottom w:val="nil"/>
              <w:right w:val="nil"/>
            </w:tcBorders>
            <w:noWrap/>
            <w:hideMark/>
          </w:tcPr>
          <w:p w14:paraId="56756398"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t-comp</w:t>
            </w:r>
          </w:p>
        </w:tc>
        <w:tc>
          <w:tcPr>
            <w:tcW w:w="3518" w:type="dxa"/>
            <w:gridSpan w:val="2"/>
            <w:tcBorders>
              <w:top w:val="nil"/>
              <w:left w:val="nil"/>
              <w:bottom w:val="nil"/>
              <w:right w:val="nil"/>
            </w:tcBorders>
            <w:noWrap/>
            <w:hideMark/>
          </w:tcPr>
          <w:p w14:paraId="707A93A2" w14:textId="77777777" w:rsidR="006E7685" w:rsidRPr="00731AA5" w:rsidRDefault="006E7685" w:rsidP="00077A9C">
            <w:pPr>
              <w:spacing w:after="0"/>
              <w:jc w:val="center"/>
              <w:rPr>
                <w:rFonts w:ascii="Times New Roman" w:hAnsi="Times New Roman"/>
                <w:color w:val="000000" w:themeColor="text1"/>
                <w:lang w:eastAsia="en-SG"/>
              </w:rPr>
            </w:pPr>
            <w:r w:rsidRPr="00731AA5">
              <w:rPr>
                <w:rFonts w:ascii="Times New Roman" w:hAnsi="Times New Roman"/>
                <w:color w:val="000000" w:themeColor="text1"/>
                <w:lang w:eastAsia="en-SG"/>
              </w:rPr>
              <w:t>-14.453</w:t>
            </w:r>
          </w:p>
        </w:tc>
      </w:tr>
      <w:tr w:rsidR="006E7685" w:rsidRPr="00731AA5" w14:paraId="202D4337" w14:textId="77777777" w:rsidTr="00731AA5">
        <w:trPr>
          <w:trHeight w:val="276"/>
          <w:jc w:val="center"/>
        </w:trPr>
        <w:tc>
          <w:tcPr>
            <w:tcW w:w="1936" w:type="dxa"/>
            <w:tcBorders>
              <w:top w:val="nil"/>
              <w:left w:val="nil"/>
              <w:bottom w:val="single" w:sz="12" w:space="0" w:color="70AD47" w:themeColor="accent6"/>
              <w:right w:val="nil"/>
            </w:tcBorders>
            <w:noWrap/>
            <w:hideMark/>
          </w:tcPr>
          <w:p w14:paraId="7C4F9C2C"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Decision</w:t>
            </w:r>
          </w:p>
        </w:tc>
        <w:tc>
          <w:tcPr>
            <w:tcW w:w="3518" w:type="dxa"/>
            <w:gridSpan w:val="2"/>
            <w:tcBorders>
              <w:top w:val="nil"/>
              <w:left w:val="nil"/>
              <w:bottom w:val="single" w:sz="12" w:space="0" w:color="70AD47" w:themeColor="accent6"/>
              <w:right w:val="nil"/>
            </w:tcBorders>
            <w:noWrap/>
            <w:hideMark/>
          </w:tcPr>
          <w:p w14:paraId="15274FCE" w14:textId="77777777" w:rsidR="006E7685" w:rsidRPr="00731AA5" w:rsidRDefault="006E7685" w:rsidP="00077A9C">
            <w:pPr>
              <w:spacing w:after="0"/>
              <w:jc w:val="center"/>
              <w:rPr>
                <w:rFonts w:ascii="Times New Roman" w:hAnsi="Times New Roman"/>
                <w:color w:val="000000" w:themeColor="text1"/>
                <w:lang w:eastAsia="en-SG"/>
              </w:rPr>
            </w:pPr>
            <w:r w:rsidRPr="00731AA5">
              <w:rPr>
                <w:rFonts w:ascii="Times New Roman" w:hAnsi="Times New Roman"/>
                <w:color w:val="000000" w:themeColor="text1"/>
                <w:lang w:eastAsia="en-SG"/>
              </w:rPr>
              <w:t>Reject Ho</w:t>
            </w:r>
          </w:p>
        </w:tc>
      </w:tr>
      <w:tr w:rsidR="006E7685" w:rsidRPr="00731AA5" w14:paraId="59CD507C" w14:textId="77777777" w:rsidTr="00731AA5">
        <w:trPr>
          <w:trHeight w:val="296"/>
          <w:jc w:val="center"/>
        </w:trPr>
        <w:tc>
          <w:tcPr>
            <w:tcW w:w="1936" w:type="dxa"/>
            <w:tcBorders>
              <w:top w:val="single" w:sz="12" w:space="0" w:color="70AD47" w:themeColor="accent6"/>
              <w:left w:val="nil"/>
              <w:bottom w:val="single" w:sz="12" w:space="0" w:color="70AD47" w:themeColor="accent6"/>
              <w:right w:val="nil"/>
            </w:tcBorders>
            <w:noWrap/>
            <w:hideMark/>
          </w:tcPr>
          <w:p w14:paraId="0378635C"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Interpretation</w:t>
            </w:r>
          </w:p>
        </w:tc>
        <w:tc>
          <w:tcPr>
            <w:tcW w:w="3518" w:type="dxa"/>
            <w:gridSpan w:val="2"/>
            <w:tcBorders>
              <w:top w:val="single" w:sz="12" w:space="0" w:color="70AD47" w:themeColor="accent6"/>
              <w:left w:val="nil"/>
              <w:bottom w:val="single" w:sz="12" w:space="0" w:color="70AD47" w:themeColor="accent6"/>
              <w:right w:val="nil"/>
            </w:tcBorders>
            <w:noWrap/>
            <w:hideMark/>
          </w:tcPr>
          <w:p w14:paraId="3C8873C0" w14:textId="77777777" w:rsidR="006E7685" w:rsidRPr="00731AA5" w:rsidRDefault="006E7685" w:rsidP="00077A9C">
            <w:pPr>
              <w:spacing w:after="0"/>
              <w:jc w:val="center"/>
              <w:rPr>
                <w:rFonts w:ascii="Times New Roman" w:hAnsi="Times New Roman"/>
                <w:color w:val="000000" w:themeColor="text1"/>
                <w:lang w:eastAsia="en-SG"/>
              </w:rPr>
            </w:pPr>
            <w:r w:rsidRPr="00731AA5">
              <w:rPr>
                <w:rFonts w:ascii="Times New Roman" w:hAnsi="Times New Roman"/>
                <w:color w:val="000000" w:themeColor="text1"/>
                <w:lang w:eastAsia="en-SG"/>
              </w:rPr>
              <w:t>Significant</w:t>
            </w:r>
          </w:p>
        </w:tc>
      </w:tr>
    </w:tbl>
    <w:p w14:paraId="349586AE" w14:textId="77777777" w:rsidR="006E7685" w:rsidRPr="006E7685" w:rsidRDefault="006E7685" w:rsidP="00731AA5">
      <w:pPr>
        <w:tabs>
          <w:tab w:val="left" w:pos="142"/>
          <w:tab w:val="left" w:pos="720"/>
        </w:tabs>
        <w:spacing w:after="0" w:line="240" w:lineRule="auto"/>
        <w:jc w:val="both"/>
        <w:rPr>
          <w:rFonts w:ascii="Times New Roman" w:hAnsi="Times New Roman"/>
          <w:color w:val="000000" w:themeColor="text1"/>
        </w:rPr>
      </w:pPr>
    </w:p>
    <w:p w14:paraId="7A911F29" w14:textId="77777777" w:rsidR="00AC1015" w:rsidRDefault="006E7685" w:rsidP="00AC1015">
      <w:pPr>
        <w:tabs>
          <w:tab w:val="left" w:pos="0"/>
          <w:tab w:val="left" w:pos="720"/>
        </w:tabs>
        <w:spacing w:line="240" w:lineRule="auto"/>
        <w:jc w:val="both"/>
        <w:rPr>
          <w:rFonts w:ascii="Times New Roman" w:hAnsi="Times New Roman"/>
          <w:color w:val="000000" w:themeColor="text1"/>
        </w:rPr>
      </w:pPr>
      <w:r w:rsidRPr="006E7685">
        <w:rPr>
          <w:rFonts w:ascii="Times New Roman" w:hAnsi="Times New Roman"/>
          <w:color w:val="000000" w:themeColor="text1"/>
        </w:rPr>
        <w:tab/>
      </w:r>
      <w:r w:rsidR="00AC1015" w:rsidRPr="00AC1015">
        <w:rPr>
          <w:rFonts w:ascii="Times New Roman" w:hAnsi="Times New Roman"/>
          <w:color w:val="000000" w:themeColor="text1"/>
        </w:rPr>
        <w:t>The findings of the paired sample t-test presented in Table 4 indicate a substantial enhancement in the individuals' performance following exposure to Flexi 2.0. The average pre-test score of 12.60 significantly increased to 21.00 in the post-test. The calculated t-value of -14.453 significantly exceeds the critical t-value of 2.262, resulting in the rejection of the null hypothesis. This signifies a statistically significant disparity between the pre-test and post-test results, illustrating that Flexi 2.0 exerted a considerable beneficial influence on the mathematical ability of the participants.</w:t>
      </w:r>
    </w:p>
    <w:p w14:paraId="34A283C5" w14:textId="77777777" w:rsidR="00AC1015" w:rsidRDefault="00AC1015" w:rsidP="00AC1015">
      <w:pPr>
        <w:tabs>
          <w:tab w:val="left" w:pos="0"/>
          <w:tab w:val="left" w:pos="720"/>
        </w:tabs>
        <w:spacing w:line="240" w:lineRule="auto"/>
        <w:jc w:val="both"/>
        <w:rPr>
          <w:rFonts w:ascii="Times New Roman" w:hAnsi="Times New Roman"/>
          <w:color w:val="000000" w:themeColor="text1"/>
        </w:rPr>
      </w:pPr>
      <w:r>
        <w:rPr>
          <w:rFonts w:ascii="Times New Roman" w:hAnsi="Times New Roman"/>
          <w:color w:val="000000" w:themeColor="text1"/>
        </w:rPr>
        <w:tab/>
      </w:r>
      <w:r w:rsidRPr="00AC1015">
        <w:rPr>
          <w:rFonts w:ascii="Times New Roman" w:hAnsi="Times New Roman"/>
          <w:color w:val="000000" w:themeColor="text1"/>
        </w:rPr>
        <w:t>The substantial improvement in performance following exposure to Flexi 2.0 indicates that the AI tutor was significant in augmenting students' comprehension of mathematical topics. The substantial mean difference of 8.40 between pre- and post-test scores underscores Flexi 2.0's capacity to facilitate the acquisition of intricate mathematical skills. The emotional responses noted during the pre-test, characterized by student bewilderment, transformed in the post-test to reveal enjoyment and confidence among the students. This transition indicates that Flexi 2.0 enhances academic performance and favorably influences students' attitudes about learning mathematics.</w:t>
      </w:r>
    </w:p>
    <w:p w14:paraId="009119D2" w14:textId="77777777" w:rsidR="00AC1015" w:rsidRDefault="00AC1015" w:rsidP="00AC1015">
      <w:pPr>
        <w:tabs>
          <w:tab w:val="left" w:pos="0"/>
          <w:tab w:val="left" w:pos="720"/>
        </w:tabs>
        <w:spacing w:line="240" w:lineRule="auto"/>
        <w:jc w:val="both"/>
        <w:rPr>
          <w:rFonts w:ascii="Times New Roman" w:hAnsi="Times New Roman"/>
          <w:color w:val="000000" w:themeColor="text1"/>
        </w:rPr>
      </w:pPr>
      <w:r>
        <w:rPr>
          <w:rFonts w:ascii="Times New Roman" w:hAnsi="Times New Roman"/>
          <w:color w:val="000000" w:themeColor="text1"/>
        </w:rPr>
        <w:tab/>
      </w:r>
      <w:r w:rsidRPr="00AC1015">
        <w:rPr>
          <w:rFonts w:ascii="Times New Roman" w:hAnsi="Times New Roman"/>
          <w:color w:val="000000" w:themeColor="text1"/>
        </w:rPr>
        <w:t xml:space="preserve">The results correspond with previous research endorsing the application of AI in mathematics instruction. Hwang &amp; Tu (2021) highlighted that AI-driven technologies significantly enhance students' mathematics performance by providing individualized feedback and adaptive learning experiences. The enhancement of confidence and the diminution of anxiety noted in the study corroborate the findings of Bray &amp; Tangney (2017), which indicated that AI tools help mitigate students' cognitive load and render learning more participatory and less stressful. Likewise, the notable enhancement shown in the post-test aligns with the findings of </w:t>
      </w:r>
      <w:proofErr w:type="spellStart"/>
      <w:r w:rsidRPr="00AC1015">
        <w:rPr>
          <w:rFonts w:ascii="Times New Roman" w:hAnsi="Times New Roman"/>
          <w:color w:val="000000" w:themeColor="text1"/>
        </w:rPr>
        <w:t>Voskoglou</w:t>
      </w:r>
      <w:proofErr w:type="spellEnd"/>
      <w:r w:rsidRPr="00AC1015">
        <w:rPr>
          <w:rFonts w:ascii="Times New Roman" w:hAnsi="Times New Roman"/>
          <w:color w:val="000000" w:themeColor="text1"/>
        </w:rPr>
        <w:t xml:space="preserve"> &amp; Salem (2020), which emphasized the effectiveness of AI tutors in enhancing problem-solving abilities and conceptual comprehension.</w:t>
      </w:r>
    </w:p>
    <w:p w14:paraId="4DFDAE14" w14:textId="59983992" w:rsidR="00AC1015" w:rsidRPr="00AC1015" w:rsidRDefault="00AC1015" w:rsidP="00AC1015">
      <w:pPr>
        <w:tabs>
          <w:tab w:val="left" w:pos="0"/>
          <w:tab w:val="left" w:pos="720"/>
        </w:tabs>
        <w:spacing w:line="240" w:lineRule="auto"/>
        <w:jc w:val="both"/>
        <w:rPr>
          <w:rFonts w:ascii="Times New Roman" w:hAnsi="Times New Roman"/>
          <w:color w:val="000000" w:themeColor="text1"/>
        </w:rPr>
      </w:pPr>
      <w:r>
        <w:rPr>
          <w:rFonts w:ascii="Times New Roman" w:hAnsi="Times New Roman"/>
          <w:color w:val="000000" w:themeColor="text1"/>
        </w:rPr>
        <w:tab/>
      </w:r>
      <w:r w:rsidRPr="00AC1015">
        <w:rPr>
          <w:rFonts w:ascii="Times New Roman" w:hAnsi="Times New Roman"/>
          <w:color w:val="000000" w:themeColor="text1"/>
        </w:rPr>
        <w:t>The findings indicate that AI-driven tutors, especially Flexi 2.0, can markedly improve students' arithmetic abilities. The significant rise in post-test scores, along with enhanced student attitudes towards learning, suggests that AI tools can be instrumental in promoting both cognitive and emotional growth in students. This has significant implications for the incorporation of AI technology into educational courses, especially in disciplines such as mathematics where students typically encounter difficulties. Flexi 2.0's tailored learning experiences can effectively address specific learning deficiencies while fostering an engaging atmosphere that encourages active involvement and enjoyment.</w:t>
      </w:r>
    </w:p>
    <w:p w14:paraId="64DAC8BB" w14:textId="7EADA56F" w:rsidR="006E7685" w:rsidRPr="009626BB" w:rsidRDefault="006E7685" w:rsidP="009626BB">
      <w:pPr>
        <w:pStyle w:val="ListParagraph"/>
        <w:numPr>
          <w:ilvl w:val="0"/>
          <w:numId w:val="20"/>
        </w:numPr>
        <w:tabs>
          <w:tab w:val="left" w:pos="0"/>
          <w:tab w:val="left" w:pos="720"/>
        </w:tabs>
        <w:spacing w:line="240" w:lineRule="auto"/>
        <w:jc w:val="both"/>
        <w:rPr>
          <w:rFonts w:ascii="Times New Roman" w:hAnsi="Times New Roman"/>
          <w:color w:val="000000" w:themeColor="text1"/>
        </w:rPr>
      </w:pPr>
      <w:r w:rsidRPr="009626BB">
        <w:rPr>
          <w:rFonts w:ascii="Times New Roman" w:hAnsi="Times New Roman"/>
          <w:b/>
          <w:color w:val="000000" w:themeColor="text1"/>
        </w:rPr>
        <w:t xml:space="preserve">Post – Test Results of Teacher – Made Test in Calculus </w:t>
      </w:r>
    </w:p>
    <w:p w14:paraId="3853A31F" w14:textId="26C2CE91" w:rsidR="006E7685" w:rsidRPr="00731AA5" w:rsidRDefault="006E7685" w:rsidP="00731AA5">
      <w:pPr>
        <w:tabs>
          <w:tab w:val="left" w:pos="142"/>
          <w:tab w:val="left" w:pos="720"/>
        </w:tabs>
        <w:spacing w:after="0" w:line="240" w:lineRule="auto"/>
        <w:jc w:val="center"/>
        <w:rPr>
          <w:rFonts w:ascii="Times New Roman" w:hAnsi="Times New Roman"/>
          <w:bCs/>
          <w:color w:val="000000" w:themeColor="text1"/>
        </w:rPr>
      </w:pPr>
      <w:r w:rsidRPr="00731AA5">
        <w:rPr>
          <w:rFonts w:ascii="Times New Roman" w:hAnsi="Times New Roman"/>
          <w:bCs/>
          <w:color w:val="000000" w:themeColor="text1"/>
        </w:rPr>
        <w:t>Table 5</w:t>
      </w:r>
      <w:r w:rsidR="00731AA5">
        <w:rPr>
          <w:rFonts w:ascii="Times New Roman" w:hAnsi="Times New Roman"/>
          <w:bCs/>
          <w:color w:val="000000" w:themeColor="text1"/>
        </w:rPr>
        <w:t xml:space="preserve">. </w:t>
      </w:r>
      <w:r w:rsidRPr="00731AA5">
        <w:rPr>
          <w:rFonts w:ascii="Times New Roman" w:hAnsi="Times New Roman"/>
          <w:bCs/>
          <w:color w:val="000000" w:themeColor="text1"/>
        </w:rPr>
        <w:t>T-test Results of the Teacher – Made Test in Calculus in the two groups after the experiment</w:t>
      </w:r>
    </w:p>
    <w:tbl>
      <w:tblPr>
        <w:tblW w:w="5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734"/>
        <w:gridCol w:w="1754"/>
      </w:tblGrid>
      <w:tr w:rsidR="006E7685" w:rsidRPr="00731AA5" w14:paraId="173FA2C6" w14:textId="77777777" w:rsidTr="00731AA5">
        <w:trPr>
          <w:trHeight w:val="276"/>
          <w:jc w:val="center"/>
        </w:trPr>
        <w:tc>
          <w:tcPr>
            <w:tcW w:w="1919" w:type="dxa"/>
            <w:tcBorders>
              <w:top w:val="single" w:sz="12" w:space="0" w:color="70AD47" w:themeColor="accent6"/>
              <w:left w:val="nil"/>
              <w:bottom w:val="single" w:sz="12" w:space="0" w:color="70AD47" w:themeColor="accent6"/>
              <w:right w:val="nil"/>
            </w:tcBorders>
            <w:noWrap/>
            <w:hideMark/>
          </w:tcPr>
          <w:p w14:paraId="7BA5B965"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 </w:t>
            </w:r>
          </w:p>
        </w:tc>
        <w:tc>
          <w:tcPr>
            <w:tcW w:w="1734" w:type="dxa"/>
            <w:tcBorders>
              <w:top w:val="single" w:sz="12" w:space="0" w:color="70AD47" w:themeColor="accent6"/>
              <w:left w:val="nil"/>
              <w:bottom w:val="single" w:sz="12" w:space="0" w:color="70AD47" w:themeColor="accent6"/>
              <w:right w:val="nil"/>
            </w:tcBorders>
            <w:noWrap/>
            <w:hideMark/>
          </w:tcPr>
          <w:p w14:paraId="1FC64F6E" w14:textId="77777777" w:rsidR="006E7685" w:rsidRPr="00731AA5" w:rsidRDefault="006E7685" w:rsidP="00077A9C">
            <w:pPr>
              <w:spacing w:after="0"/>
              <w:rPr>
                <w:rFonts w:ascii="Times New Roman" w:hAnsi="Times New Roman"/>
                <w:color w:val="000000" w:themeColor="text1"/>
                <w:lang w:eastAsia="en-SG"/>
              </w:rPr>
            </w:pPr>
            <w:proofErr w:type="spellStart"/>
            <w:r w:rsidRPr="00731AA5">
              <w:rPr>
                <w:rFonts w:ascii="Times New Roman" w:hAnsi="Times New Roman"/>
                <w:color w:val="000000" w:themeColor="text1"/>
                <w:lang w:eastAsia="en-SG"/>
              </w:rPr>
              <w:t>MathGPT</w:t>
            </w:r>
            <w:proofErr w:type="spellEnd"/>
          </w:p>
        </w:tc>
        <w:tc>
          <w:tcPr>
            <w:tcW w:w="1754" w:type="dxa"/>
            <w:tcBorders>
              <w:top w:val="single" w:sz="12" w:space="0" w:color="70AD47" w:themeColor="accent6"/>
              <w:left w:val="nil"/>
              <w:bottom w:val="single" w:sz="12" w:space="0" w:color="70AD47" w:themeColor="accent6"/>
              <w:right w:val="nil"/>
            </w:tcBorders>
            <w:noWrap/>
            <w:hideMark/>
          </w:tcPr>
          <w:p w14:paraId="15E1ECA1"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Flexi 2.0</w:t>
            </w:r>
          </w:p>
        </w:tc>
      </w:tr>
      <w:tr w:rsidR="006E7685" w:rsidRPr="00731AA5" w14:paraId="503861F8" w14:textId="77777777" w:rsidTr="00731AA5">
        <w:trPr>
          <w:trHeight w:val="276"/>
          <w:jc w:val="center"/>
        </w:trPr>
        <w:tc>
          <w:tcPr>
            <w:tcW w:w="1919" w:type="dxa"/>
            <w:tcBorders>
              <w:top w:val="single" w:sz="12" w:space="0" w:color="70AD47" w:themeColor="accent6"/>
              <w:left w:val="nil"/>
              <w:bottom w:val="nil"/>
              <w:right w:val="nil"/>
            </w:tcBorders>
            <w:noWrap/>
            <w:hideMark/>
          </w:tcPr>
          <w:p w14:paraId="7F5447F0"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Mean</w:t>
            </w:r>
          </w:p>
        </w:tc>
        <w:tc>
          <w:tcPr>
            <w:tcW w:w="1734" w:type="dxa"/>
            <w:tcBorders>
              <w:top w:val="single" w:sz="12" w:space="0" w:color="70AD47" w:themeColor="accent6"/>
              <w:left w:val="nil"/>
              <w:bottom w:val="nil"/>
              <w:right w:val="nil"/>
            </w:tcBorders>
            <w:noWrap/>
            <w:hideMark/>
          </w:tcPr>
          <w:p w14:paraId="5F58C35D"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18.40</w:t>
            </w:r>
          </w:p>
        </w:tc>
        <w:tc>
          <w:tcPr>
            <w:tcW w:w="1754" w:type="dxa"/>
            <w:tcBorders>
              <w:top w:val="single" w:sz="12" w:space="0" w:color="70AD47" w:themeColor="accent6"/>
              <w:left w:val="nil"/>
              <w:bottom w:val="nil"/>
              <w:right w:val="nil"/>
            </w:tcBorders>
            <w:noWrap/>
            <w:hideMark/>
          </w:tcPr>
          <w:p w14:paraId="6B4BA651"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21.00</w:t>
            </w:r>
          </w:p>
        </w:tc>
      </w:tr>
      <w:tr w:rsidR="006E7685" w:rsidRPr="00731AA5" w14:paraId="0E09A66E" w14:textId="77777777" w:rsidTr="00731AA5">
        <w:trPr>
          <w:trHeight w:val="276"/>
          <w:jc w:val="center"/>
        </w:trPr>
        <w:tc>
          <w:tcPr>
            <w:tcW w:w="1919" w:type="dxa"/>
            <w:tcBorders>
              <w:top w:val="nil"/>
              <w:left w:val="nil"/>
              <w:bottom w:val="nil"/>
              <w:right w:val="nil"/>
            </w:tcBorders>
            <w:noWrap/>
            <w:hideMark/>
          </w:tcPr>
          <w:p w14:paraId="1E133A57"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Variance</w:t>
            </w:r>
          </w:p>
        </w:tc>
        <w:tc>
          <w:tcPr>
            <w:tcW w:w="1734" w:type="dxa"/>
            <w:tcBorders>
              <w:top w:val="nil"/>
              <w:left w:val="nil"/>
              <w:bottom w:val="nil"/>
              <w:right w:val="nil"/>
            </w:tcBorders>
            <w:noWrap/>
            <w:hideMark/>
          </w:tcPr>
          <w:p w14:paraId="62B1EDE0"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22.267</w:t>
            </w:r>
          </w:p>
        </w:tc>
        <w:tc>
          <w:tcPr>
            <w:tcW w:w="1754" w:type="dxa"/>
            <w:tcBorders>
              <w:top w:val="nil"/>
              <w:left w:val="nil"/>
              <w:bottom w:val="nil"/>
              <w:right w:val="nil"/>
            </w:tcBorders>
            <w:noWrap/>
            <w:hideMark/>
          </w:tcPr>
          <w:p w14:paraId="5EFF9525"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26.222</w:t>
            </w:r>
          </w:p>
        </w:tc>
      </w:tr>
      <w:tr w:rsidR="006E7685" w:rsidRPr="00731AA5" w14:paraId="33AAD0C7" w14:textId="77777777" w:rsidTr="00731AA5">
        <w:trPr>
          <w:trHeight w:val="276"/>
          <w:jc w:val="center"/>
        </w:trPr>
        <w:tc>
          <w:tcPr>
            <w:tcW w:w="1919" w:type="dxa"/>
            <w:tcBorders>
              <w:top w:val="nil"/>
              <w:left w:val="nil"/>
              <w:bottom w:val="nil"/>
              <w:right w:val="nil"/>
            </w:tcBorders>
            <w:noWrap/>
            <w:hideMark/>
          </w:tcPr>
          <w:p w14:paraId="23427259" w14:textId="77777777" w:rsidR="006E7685" w:rsidRPr="00731AA5" w:rsidRDefault="006E7685" w:rsidP="00077A9C">
            <w:pPr>
              <w:spacing w:after="0"/>
              <w:rPr>
                <w:rFonts w:ascii="Times New Roman" w:hAnsi="Times New Roman"/>
                <w:color w:val="000000" w:themeColor="text1"/>
                <w:lang w:eastAsia="en-SG"/>
              </w:rPr>
            </w:pPr>
            <w:proofErr w:type="spellStart"/>
            <w:r w:rsidRPr="00731AA5">
              <w:rPr>
                <w:rFonts w:ascii="Times New Roman" w:hAnsi="Times New Roman"/>
                <w:color w:val="000000" w:themeColor="text1"/>
                <w:lang w:eastAsia="en-SG"/>
              </w:rPr>
              <w:t>Df</w:t>
            </w:r>
            <w:proofErr w:type="spellEnd"/>
          </w:p>
        </w:tc>
        <w:tc>
          <w:tcPr>
            <w:tcW w:w="1734" w:type="dxa"/>
            <w:tcBorders>
              <w:top w:val="nil"/>
              <w:left w:val="nil"/>
              <w:bottom w:val="nil"/>
              <w:right w:val="nil"/>
            </w:tcBorders>
            <w:noWrap/>
            <w:hideMark/>
          </w:tcPr>
          <w:p w14:paraId="47299680"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10</w:t>
            </w:r>
          </w:p>
        </w:tc>
        <w:tc>
          <w:tcPr>
            <w:tcW w:w="1754" w:type="dxa"/>
            <w:tcBorders>
              <w:top w:val="nil"/>
              <w:left w:val="nil"/>
              <w:bottom w:val="nil"/>
              <w:right w:val="nil"/>
            </w:tcBorders>
            <w:noWrap/>
            <w:hideMark/>
          </w:tcPr>
          <w:p w14:paraId="217F81FF"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10</w:t>
            </w:r>
          </w:p>
        </w:tc>
      </w:tr>
      <w:tr w:rsidR="006E7685" w:rsidRPr="00731AA5" w14:paraId="666D3152" w14:textId="77777777" w:rsidTr="00731AA5">
        <w:trPr>
          <w:trHeight w:val="276"/>
          <w:jc w:val="center"/>
        </w:trPr>
        <w:tc>
          <w:tcPr>
            <w:tcW w:w="1919" w:type="dxa"/>
            <w:tcBorders>
              <w:top w:val="nil"/>
              <w:left w:val="nil"/>
              <w:bottom w:val="nil"/>
              <w:right w:val="nil"/>
            </w:tcBorders>
            <w:noWrap/>
            <w:hideMark/>
          </w:tcPr>
          <w:p w14:paraId="3B184486"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level of confidence</w:t>
            </w:r>
          </w:p>
        </w:tc>
        <w:tc>
          <w:tcPr>
            <w:tcW w:w="3488" w:type="dxa"/>
            <w:gridSpan w:val="2"/>
            <w:tcBorders>
              <w:top w:val="nil"/>
              <w:left w:val="nil"/>
              <w:bottom w:val="nil"/>
              <w:right w:val="nil"/>
            </w:tcBorders>
            <w:noWrap/>
            <w:hideMark/>
          </w:tcPr>
          <w:p w14:paraId="2D09A78A"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5%, two-tailed</w:t>
            </w:r>
          </w:p>
        </w:tc>
      </w:tr>
      <w:tr w:rsidR="006E7685" w:rsidRPr="00731AA5" w14:paraId="0CCDDE02" w14:textId="77777777" w:rsidTr="00731AA5">
        <w:trPr>
          <w:trHeight w:val="276"/>
          <w:jc w:val="center"/>
        </w:trPr>
        <w:tc>
          <w:tcPr>
            <w:tcW w:w="1919" w:type="dxa"/>
            <w:tcBorders>
              <w:top w:val="nil"/>
              <w:left w:val="nil"/>
              <w:bottom w:val="nil"/>
              <w:right w:val="nil"/>
            </w:tcBorders>
            <w:noWrap/>
            <w:hideMark/>
          </w:tcPr>
          <w:p w14:paraId="060A0EFA"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t-crit</w:t>
            </w:r>
          </w:p>
        </w:tc>
        <w:tc>
          <w:tcPr>
            <w:tcW w:w="3488" w:type="dxa"/>
            <w:gridSpan w:val="2"/>
            <w:tcBorders>
              <w:top w:val="nil"/>
              <w:left w:val="nil"/>
              <w:bottom w:val="nil"/>
              <w:right w:val="nil"/>
            </w:tcBorders>
            <w:noWrap/>
            <w:hideMark/>
          </w:tcPr>
          <w:p w14:paraId="4AED4DC8" w14:textId="77777777" w:rsidR="006E7685" w:rsidRPr="00731AA5" w:rsidRDefault="006E7685" w:rsidP="00077A9C">
            <w:pPr>
              <w:spacing w:after="0"/>
              <w:jc w:val="center"/>
              <w:rPr>
                <w:rFonts w:ascii="Times New Roman" w:hAnsi="Times New Roman"/>
                <w:color w:val="000000" w:themeColor="text1"/>
                <w:lang w:eastAsia="en-SG"/>
              </w:rPr>
            </w:pPr>
            <w:r w:rsidRPr="00731AA5">
              <w:rPr>
                <w:rFonts w:ascii="Times New Roman" w:hAnsi="Times New Roman"/>
                <w:color w:val="000000" w:themeColor="text1"/>
                <w:lang w:eastAsia="en-SG"/>
              </w:rPr>
              <w:t>2.100</w:t>
            </w:r>
          </w:p>
        </w:tc>
      </w:tr>
      <w:tr w:rsidR="006E7685" w:rsidRPr="00731AA5" w14:paraId="397BCF2A" w14:textId="77777777" w:rsidTr="00731AA5">
        <w:trPr>
          <w:trHeight w:val="276"/>
          <w:jc w:val="center"/>
        </w:trPr>
        <w:tc>
          <w:tcPr>
            <w:tcW w:w="1919" w:type="dxa"/>
            <w:tcBorders>
              <w:top w:val="nil"/>
              <w:left w:val="nil"/>
              <w:bottom w:val="nil"/>
              <w:right w:val="nil"/>
            </w:tcBorders>
            <w:noWrap/>
            <w:hideMark/>
          </w:tcPr>
          <w:p w14:paraId="50CA98DD"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t-comp</w:t>
            </w:r>
          </w:p>
        </w:tc>
        <w:tc>
          <w:tcPr>
            <w:tcW w:w="3488" w:type="dxa"/>
            <w:gridSpan w:val="2"/>
            <w:tcBorders>
              <w:top w:val="nil"/>
              <w:left w:val="nil"/>
              <w:bottom w:val="nil"/>
              <w:right w:val="nil"/>
            </w:tcBorders>
            <w:noWrap/>
            <w:hideMark/>
          </w:tcPr>
          <w:p w14:paraId="07574196" w14:textId="77777777" w:rsidR="006E7685" w:rsidRPr="00731AA5" w:rsidRDefault="006E7685" w:rsidP="00077A9C">
            <w:pPr>
              <w:spacing w:after="0"/>
              <w:jc w:val="center"/>
              <w:rPr>
                <w:rFonts w:ascii="Times New Roman" w:hAnsi="Times New Roman"/>
                <w:color w:val="000000" w:themeColor="text1"/>
                <w:lang w:eastAsia="en-SG"/>
              </w:rPr>
            </w:pPr>
            <w:r w:rsidRPr="00731AA5">
              <w:rPr>
                <w:rFonts w:ascii="Times New Roman" w:hAnsi="Times New Roman"/>
                <w:color w:val="000000" w:themeColor="text1"/>
                <w:lang w:eastAsia="en-SG"/>
              </w:rPr>
              <w:t>- 1.181</w:t>
            </w:r>
          </w:p>
        </w:tc>
      </w:tr>
      <w:tr w:rsidR="006E7685" w:rsidRPr="00731AA5" w14:paraId="4F437DCC" w14:textId="77777777" w:rsidTr="00731AA5">
        <w:trPr>
          <w:trHeight w:val="276"/>
          <w:jc w:val="center"/>
        </w:trPr>
        <w:tc>
          <w:tcPr>
            <w:tcW w:w="1919" w:type="dxa"/>
            <w:tcBorders>
              <w:top w:val="nil"/>
              <w:left w:val="nil"/>
              <w:bottom w:val="single" w:sz="12" w:space="0" w:color="70AD47" w:themeColor="accent6"/>
              <w:right w:val="nil"/>
            </w:tcBorders>
            <w:noWrap/>
            <w:hideMark/>
          </w:tcPr>
          <w:p w14:paraId="5DC75686"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Decision</w:t>
            </w:r>
          </w:p>
        </w:tc>
        <w:tc>
          <w:tcPr>
            <w:tcW w:w="3488" w:type="dxa"/>
            <w:gridSpan w:val="2"/>
            <w:tcBorders>
              <w:top w:val="nil"/>
              <w:left w:val="nil"/>
              <w:bottom w:val="single" w:sz="12" w:space="0" w:color="70AD47" w:themeColor="accent6"/>
              <w:right w:val="nil"/>
            </w:tcBorders>
            <w:noWrap/>
            <w:hideMark/>
          </w:tcPr>
          <w:p w14:paraId="434F2B78" w14:textId="77777777" w:rsidR="006E7685" w:rsidRPr="00731AA5" w:rsidRDefault="006E7685" w:rsidP="00077A9C">
            <w:pPr>
              <w:spacing w:after="0"/>
              <w:jc w:val="center"/>
              <w:rPr>
                <w:rFonts w:ascii="Times New Roman" w:hAnsi="Times New Roman"/>
                <w:color w:val="000000" w:themeColor="text1"/>
                <w:lang w:eastAsia="en-SG"/>
              </w:rPr>
            </w:pPr>
            <w:r w:rsidRPr="00731AA5">
              <w:rPr>
                <w:rFonts w:ascii="Times New Roman" w:hAnsi="Times New Roman"/>
                <w:color w:val="000000" w:themeColor="text1"/>
                <w:lang w:eastAsia="en-SG"/>
              </w:rPr>
              <w:t>Accept Ho</w:t>
            </w:r>
          </w:p>
        </w:tc>
      </w:tr>
      <w:tr w:rsidR="006E7685" w:rsidRPr="00731AA5" w14:paraId="5D356343" w14:textId="77777777" w:rsidTr="00731AA5">
        <w:trPr>
          <w:trHeight w:val="296"/>
          <w:jc w:val="center"/>
        </w:trPr>
        <w:tc>
          <w:tcPr>
            <w:tcW w:w="1919" w:type="dxa"/>
            <w:tcBorders>
              <w:top w:val="single" w:sz="12" w:space="0" w:color="70AD47" w:themeColor="accent6"/>
              <w:left w:val="nil"/>
              <w:bottom w:val="single" w:sz="12" w:space="0" w:color="70AD47" w:themeColor="accent6"/>
              <w:right w:val="nil"/>
            </w:tcBorders>
            <w:noWrap/>
            <w:hideMark/>
          </w:tcPr>
          <w:p w14:paraId="6B3DE7D4" w14:textId="77777777" w:rsidR="006E7685" w:rsidRPr="00731AA5" w:rsidRDefault="006E7685" w:rsidP="00077A9C">
            <w:pPr>
              <w:spacing w:after="0"/>
              <w:rPr>
                <w:rFonts w:ascii="Times New Roman" w:hAnsi="Times New Roman"/>
                <w:color w:val="000000" w:themeColor="text1"/>
                <w:lang w:eastAsia="en-SG"/>
              </w:rPr>
            </w:pPr>
            <w:r w:rsidRPr="00731AA5">
              <w:rPr>
                <w:rFonts w:ascii="Times New Roman" w:hAnsi="Times New Roman"/>
                <w:color w:val="000000" w:themeColor="text1"/>
                <w:lang w:eastAsia="en-SG"/>
              </w:rPr>
              <w:t>Interpretation</w:t>
            </w:r>
          </w:p>
        </w:tc>
        <w:tc>
          <w:tcPr>
            <w:tcW w:w="3488" w:type="dxa"/>
            <w:gridSpan w:val="2"/>
            <w:tcBorders>
              <w:top w:val="single" w:sz="12" w:space="0" w:color="70AD47" w:themeColor="accent6"/>
              <w:left w:val="nil"/>
              <w:bottom w:val="single" w:sz="12" w:space="0" w:color="70AD47" w:themeColor="accent6"/>
              <w:right w:val="nil"/>
            </w:tcBorders>
            <w:noWrap/>
            <w:hideMark/>
          </w:tcPr>
          <w:p w14:paraId="40F39F5C" w14:textId="77777777" w:rsidR="006E7685" w:rsidRPr="00731AA5" w:rsidRDefault="006E7685" w:rsidP="00077A9C">
            <w:pPr>
              <w:spacing w:after="0"/>
              <w:jc w:val="center"/>
              <w:rPr>
                <w:rFonts w:ascii="Times New Roman" w:hAnsi="Times New Roman"/>
                <w:color w:val="000000" w:themeColor="text1"/>
                <w:lang w:eastAsia="en-SG"/>
              </w:rPr>
            </w:pPr>
            <w:r w:rsidRPr="00731AA5">
              <w:rPr>
                <w:rFonts w:ascii="Times New Roman" w:hAnsi="Times New Roman"/>
                <w:color w:val="000000" w:themeColor="text1"/>
                <w:lang w:eastAsia="en-SG"/>
              </w:rPr>
              <w:t>Not Significant</w:t>
            </w:r>
          </w:p>
        </w:tc>
      </w:tr>
    </w:tbl>
    <w:p w14:paraId="642DEF2F" w14:textId="77777777" w:rsidR="006E7685" w:rsidRPr="006E7685" w:rsidRDefault="006E7685" w:rsidP="00731AA5">
      <w:pPr>
        <w:tabs>
          <w:tab w:val="left" w:pos="142"/>
          <w:tab w:val="left" w:pos="720"/>
        </w:tabs>
        <w:spacing w:after="0" w:line="240" w:lineRule="auto"/>
        <w:jc w:val="both"/>
        <w:rPr>
          <w:rFonts w:ascii="Times New Roman" w:hAnsi="Times New Roman"/>
          <w:color w:val="000000" w:themeColor="text1"/>
        </w:rPr>
      </w:pPr>
    </w:p>
    <w:p w14:paraId="5E947120" w14:textId="77777777" w:rsidR="00AC1015" w:rsidRDefault="006E7685" w:rsidP="00AC1015">
      <w:pPr>
        <w:tabs>
          <w:tab w:val="left" w:pos="0"/>
        </w:tabs>
        <w:spacing w:line="240" w:lineRule="auto"/>
        <w:jc w:val="both"/>
        <w:rPr>
          <w:rFonts w:ascii="Times New Roman" w:hAnsi="Times New Roman"/>
          <w:color w:val="000000" w:themeColor="text1"/>
        </w:rPr>
      </w:pPr>
      <w:r w:rsidRPr="006E7685">
        <w:rPr>
          <w:rFonts w:ascii="Times New Roman" w:hAnsi="Times New Roman"/>
          <w:color w:val="000000" w:themeColor="text1"/>
        </w:rPr>
        <w:tab/>
      </w:r>
      <w:r w:rsidR="00AC1015" w:rsidRPr="00AC1015">
        <w:rPr>
          <w:rFonts w:ascii="Times New Roman" w:hAnsi="Times New Roman"/>
          <w:color w:val="000000" w:themeColor="text1"/>
        </w:rPr>
        <w:t xml:space="preserve">Table 5 displays the t-test outcomes comparing the post-test performances of pupils utilizing two AI-driven math tutors: Flexi 2.0 and </w:t>
      </w:r>
      <w:proofErr w:type="spellStart"/>
      <w:r w:rsidR="00AC1015" w:rsidRPr="00AC1015">
        <w:rPr>
          <w:rFonts w:ascii="Times New Roman" w:hAnsi="Times New Roman"/>
          <w:color w:val="000000" w:themeColor="text1"/>
        </w:rPr>
        <w:t>MathGPT</w:t>
      </w:r>
      <w:proofErr w:type="spellEnd"/>
      <w:r w:rsidR="00AC1015" w:rsidRPr="00AC1015">
        <w:rPr>
          <w:rFonts w:ascii="Times New Roman" w:hAnsi="Times New Roman"/>
          <w:color w:val="000000" w:themeColor="text1"/>
        </w:rPr>
        <w:t xml:space="preserve">. Despite the Flexi 2.0 group achieving a higher mean score of 21.00 compared to the </w:t>
      </w:r>
      <w:proofErr w:type="spellStart"/>
      <w:r w:rsidR="00AC1015" w:rsidRPr="00AC1015">
        <w:rPr>
          <w:rFonts w:ascii="Times New Roman" w:hAnsi="Times New Roman"/>
          <w:color w:val="000000" w:themeColor="text1"/>
        </w:rPr>
        <w:t>MathGPT</w:t>
      </w:r>
      <w:proofErr w:type="spellEnd"/>
      <w:r w:rsidR="00AC1015" w:rsidRPr="00AC1015">
        <w:rPr>
          <w:rFonts w:ascii="Times New Roman" w:hAnsi="Times New Roman"/>
          <w:color w:val="000000" w:themeColor="text1"/>
        </w:rPr>
        <w:t xml:space="preserve"> group's mean score of 18.40, the calculated t-value of -1.181 did not surpass the threshold t-value of 2.100. Consequently, the null hypothesis remains unrefuted, signifying no statistically significant disparity between the two groups. This indicates that although Flexi 2.0 seems to enhance student results more effectively, the disparity in the efficacy of the two AI instructors is not statistically significant.</w:t>
      </w:r>
    </w:p>
    <w:p w14:paraId="42D170C6" w14:textId="77777777" w:rsidR="00AC1015" w:rsidRDefault="00AC1015" w:rsidP="00AC1015">
      <w:pPr>
        <w:tabs>
          <w:tab w:val="left" w:pos="0"/>
        </w:tabs>
        <w:spacing w:line="240" w:lineRule="auto"/>
        <w:jc w:val="both"/>
        <w:rPr>
          <w:rFonts w:ascii="Times New Roman" w:hAnsi="Times New Roman"/>
          <w:color w:val="000000" w:themeColor="text1"/>
        </w:rPr>
      </w:pPr>
      <w:r>
        <w:rPr>
          <w:rFonts w:ascii="Times New Roman" w:hAnsi="Times New Roman"/>
          <w:color w:val="000000" w:themeColor="text1"/>
        </w:rPr>
        <w:tab/>
      </w:r>
      <w:r w:rsidRPr="00AC1015">
        <w:rPr>
          <w:rFonts w:ascii="Times New Roman" w:hAnsi="Times New Roman"/>
          <w:color w:val="000000" w:themeColor="text1"/>
        </w:rPr>
        <w:t xml:space="preserve">The findings indicate that both Flexi 2.0 and </w:t>
      </w:r>
      <w:proofErr w:type="spellStart"/>
      <w:r w:rsidRPr="00AC1015">
        <w:rPr>
          <w:rFonts w:ascii="Times New Roman" w:hAnsi="Times New Roman"/>
          <w:color w:val="000000" w:themeColor="text1"/>
        </w:rPr>
        <w:t>MathGPT</w:t>
      </w:r>
      <w:proofErr w:type="spellEnd"/>
      <w:r w:rsidRPr="00AC1015">
        <w:rPr>
          <w:rFonts w:ascii="Times New Roman" w:hAnsi="Times New Roman"/>
          <w:color w:val="000000" w:themeColor="text1"/>
        </w:rPr>
        <w:t xml:space="preserve"> enhanced students' performance, with Flexi 2.0 demonstrating marginally superior results. The absence of a substantial difference between the two AI tutors suggests that both tools exhibit similar efficacy in facilitating student learning in mathematics. The enhancement in scores among both groups underscores that AI-powered tools are advantageous for improving mathematics learning, despite one potentially exhibiting a slight superiority over the other. This corresponds with the findings of Chen &amp; Liu (2007), who observed that individualized learning through AI technology can be beneficial, although may not consistently produce markedly different results in comparison.</w:t>
      </w:r>
    </w:p>
    <w:p w14:paraId="5290F7C9" w14:textId="298BF85B" w:rsidR="00AC1015" w:rsidRDefault="00AC1015" w:rsidP="00AC1015">
      <w:pPr>
        <w:tabs>
          <w:tab w:val="left" w:pos="0"/>
        </w:tabs>
        <w:spacing w:line="240" w:lineRule="auto"/>
        <w:jc w:val="both"/>
        <w:rPr>
          <w:rFonts w:ascii="Times New Roman" w:hAnsi="Times New Roman"/>
          <w:color w:val="000000" w:themeColor="text1"/>
        </w:rPr>
      </w:pPr>
      <w:r>
        <w:rPr>
          <w:rFonts w:ascii="Times New Roman" w:hAnsi="Times New Roman"/>
          <w:color w:val="000000" w:themeColor="text1"/>
        </w:rPr>
        <w:tab/>
      </w:r>
      <w:r w:rsidRPr="00AC1015">
        <w:rPr>
          <w:rFonts w:ascii="Times New Roman" w:hAnsi="Times New Roman"/>
          <w:color w:val="000000" w:themeColor="text1"/>
        </w:rPr>
        <w:t xml:space="preserve">The little differences in performance between the two AI tutors reflect the conclusions of Chen &amp; Liu (2007), who highlighted that AI tools intended for individualized learning may exhibit varied levels of effectiveness but typically result in favorable educational outcomes. The little enhancement noted in the Flexi 2.0 group aligns with </w:t>
      </w:r>
      <w:r w:rsidR="00CA10EE" w:rsidRPr="00CA10EE">
        <w:rPr>
          <w:rFonts w:ascii="Times New Roman" w:hAnsi="Times New Roman"/>
          <w:bCs/>
          <w:color w:val="000000" w:themeColor="text1"/>
        </w:rPr>
        <w:t>Mohamed</w:t>
      </w:r>
      <w:r w:rsidRPr="00AC1015">
        <w:rPr>
          <w:rFonts w:ascii="Times New Roman" w:hAnsi="Times New Roman"/>
          <w:color w:val="000000" w:themeColor="text1"/>
        </w:rPr>
        <w:t xml:space="preserve"> et al. (2022), who discovered that although specific AI-driven tools can improve learning experiences, their performance may not always be significantly superior to other comparable technology. This study reinforces the idea that although AI tools may possess distinct characteristics, their fundamental advantages, including individualized learning and immediate feedback, are largely consistent across many platforms.</w:t>
      </w:r>
    </w:p>
    <w:p w14:paraId="2A3769D6" w14:textId="1E7EB463" w:rsidR="00AC1015" w:rsidRDefault="00AC1015" w:rsidP="00AC1015">
      <w:pPr>
        <w:tabs>
          <w:tab w:val="left" w:pos="0"/>
        </w:tabs>
        <w:spacing w:line="240" w:lineRule="auto"/>
        <w:jc w:val="both"/>
        <w:rPr>
          <w:rFonts w:ascii="Times New Roman" w:hAnsi="Times New Roman"/>
          <w:color w:val="000000" w:themeColor="text1"/>
        </w:rPr>
      </w:pPr>
      <w:r>
        <w:rPr>
          <w:rFonts w:ascii="Times New Roman" w:hAnsi="Times New Roman"/>
          <w:color w:val="000000" w:themeColor="text1"/>
        </w:rPr>
        <w:tab/>
      </w:r>
      <w:r w:rsidRPr="00AC1015">
        <w:rPr>
          <w:rFonts w:ascii="Times New Roman" w:hAnsi="Times New Roman"/>
          <w:color w:val="000000" w:themeColor="text1"/>
        </w:rPr>
        <w:t xml:space="preserve">The findings demonstrate that both Flexi 2.0 and </w:t>
      </w:r>
      <w:proofErr w:type="spellStart"/>
      <w:r w:rsidRPr="00AC1015">
        <w:rPr>
          <w:rFonts w:ascii="Times New Roman" w:hAnsi="Times New Roman"/>
          <w:color w:val="000000" w:themeColor="text1"/>
        </w:rPr>
        <w:t>MathGPT</w:t>
      </w:r>
      <w:proofErr w:type="spellEnd"/>
      <w:r w:rsidRPr="00AC1015">
        <w:rPr>
          <w:rFonts w:ascii="Times New Roman" w:hAnsi="Times New Roman"/>
          <w:color w:val="000000" w:themeColor="text1"/>
        </w:rPr>
        <w:t xml:space="preserve"> are efficacious instruments for enhancing student performance in mathematics, albeit the variations in effectiveness are not statistically significant. This indicates that educators may utilize either instrument to augment students' comprehension of mathematical ideas. Nonetheless, the marginal advantage of Flexi 2.0 indicates that its features may be more appropriate for some educational environments. The findings suggest that instructors should prioritize the integration of AI tutors into their educational methodologies rather than selecting specific AI tools. This enhances the overall comprehension that AI tools can augment conventional teaching techniques, especially in fields where students encounter difficulties with intricate problem-solving tasks.</w:t>
      </w:r>
    </w:p>
    <w:p w14:paraId="49690ACC" w14:textId="3B11DC06" w:rsidR="006E7685" w:rsidRPr="00AC1015" w:rsidRDefault="006E7685" w:rsidP="00AC1015">
      <w:pPr>
        <w:pStyle w:val="ListParagraph"/>
        <w:numPr>
          <w:ilvl w:val="0"/>
          <w:numId w:val="20"/>
        </w:numPr>
        <w:tabs>
          <w:tab w:val="left" w:pos="0"/>
        </w:tabs>
        <w:spacing w:line="240" w:lineRule="auto"/>
        <w:jc w:val="both"/>
        <w:rPr>
          <w:rFonts w:ascii="Times New Roman" w:hAnsi="Times New Roman"/>
          <w:b/>
          <w:color w:val="000000" w:themeColor="text1"/>
        </w:rPr>
      </w:pPr>
      <w:r w:rsidRPr="00AC1015">
        <w:rPr>
          <w:rFonts w:ascii="Times New Roman" w:hAnsi="Times New Roman"/>
          <w:b/>
          <w:color w:val="000000" w:themeColor="text1"/>
        </w:rPr>
        <w:t>Challenges</w:t>
      </w:r>
    </w:p>
    <w:p w14:paraId="0D798DF4" w14:textId="77777777" w:rsidR="00A954C7" w:rsidRPr="00A954C7" w:rsidRDefault="00A954C7" w:rsidP="00731AA5">
      <w:pPr>
        <w:spacing w:after="0" w:line="240" w:lineRule="auto"/>
        <w:jc w:val="both"/>
        <w:rPr>
          <w:rFonts w:ascii="Times New Roman" w:hAnsi="Times New Roman"/>
          <w:bCs/>
          <w:color w:val="000000" w:themeColor="text1"/>
        </w:rPr>
      </w:pPr>
      <w:r w:rsidRPr="00A954C7">
        <w:rPr>
          <w:rFonts w:ascii="Times New Roman" w:hAnsi="Times New Roman"/>
          <w:bCs/>
          <w:color w:val="000000" w:themeColor="text1"/>
        </w:rPr>
        <w:t>The utilization of the two AI Math tutors revealed the following challenges:</w:t>
      </w:r>
    </w:p>
    <w:p w14:paraId="0B477733" w14:textId="77777777" w:rsidR="00A954C7" w:rsidRPr="00A954C7" w:rsidRDefault="00A954C7" w:rsidP="00A954C7">
      <w:pPr>
        <w:spacing w:after="0" w:line="240" w:lineRule="auto"/>
        <w:ind w:firstLine="720"/>
        <w:jc w:val="both"/>
        <w:rPr>
          <w:rFonts w:ascii="Times New Roman" w:hAnsi="Times New Roman"/>
          <w:bCs/>
          <w:color w:val="000000" w:themeColor="text1"/>
        </w:rPr>
      </w:pPr>
    </w:p>
    <w:p w14:paraId="4FB4A3C9" w14:textId="77777777" w:rsidR="00A954C7" w:rsidRPr="00A954C7" w:rsidRDefault="00A954C7" w:rsidP="00A954C7">
      <w:pPr>
        <w:spacing w:after="0" w:line="240" w:lineRule="auto"/>
        <w:ind w:firstLine="720"/>
        <w:jc w:val="both"/>
        <w:rPr>
          <w:rFonts w:ascii="Times New Roman" w:hAnsi="Times New Roman"/>
          <w:bCs/>
          <w:i/>
          <w:iCs/>
          <w:color w:val="000000" w:themeColor="text1"/>
        </w:rPr>
      </w:pPr>
      <w:r w:rsidRPr="00A954C7">
        <w:rPr>
          <w:rFonts w:ascii="Times New Roman" w:hAnsi="Times New Roman"/>
          <w:bCs/>
          <w:i/>
          <w:iCs/>
          <w:color w:val="000000" w:themeColor="text1"/>
        </w:rPr>
        <w:t>4.1. Technical Challenges</w:t>
      </w:r>
    </w:p>
    <w:p w14:paraId="5FFC4211" w14:textId="77777777" w:rsidR="00A954C7" w:rsidRPr="00A954C7" w:rsidRDefault="00A954C7" w:rsidP="00A954C7">
      <w:pPr>
        <w:spacing w:after="0" w:line="240" w:lineRule="auto"/>
        <w:ind w:firstLine="720"/>
        <w:jc w:val="both"/>
        <w:rPr>
          <w:rFonts w:ascii="Times New Roman" w:hAnsi="Times New Roman"/>
          <w:bCs/>
          <w:color w:val="000000" w:themeColor="text1"/>
        </w:rPr>
      </w:pPr>
      <w:r w:rsidRPr="00A954C7">
        <w:rPr>
          <w:rFonts w:ascii="Times New Roman" w:hAnsi="Times New Roman"/>
          <w:bCs/>
          <w:color w:val="000000" w:themeColor="text1"/>
        </w:rPr>
        <w:t>Utilizing Flexi 2.0, students are exposed to advanced interfaces and cutting-edge production tools. The learning curve for this technology is steep because to its intricacy, which may intimidate those who are unacquainted with it. Mastery of technical abilities that students may not have developed in conventional classroom settings is crucial for operating equipment and managing complex software interfaces. Students who infrequently engage with technology or lack confidence in their technological skills may find this problem more pronounced.</w:t>
      </w:r>
    </w:p>
    <w:p w14:paraId="6B7F5D2A" w14:textId="77777777" w:rsidR="00A954C7" w:rsidRPr="00A954C7" w:rsidRDefault="00A954C7" w:rsidP="00A954C7">
      <w:pPr>
        <w:spacing w:after="0" w:line="240" w:lineRule="auto"/>
        <w:ind w:firstLine="720"/>
        <w:jc w:val="both"/>
        <w:rPr>
          <w:rFonts w:ascii="Times New Roman" w:hAnsi="Times New Roman"/>
          <w:bCs/>
          <w:color w:val="000000" w:themeColor="text1"/>
        </w:rPr>
      </w:pPr>
    </w:p>
    <w:p w14:paraId="1026100B" w14:textId="77777777" w:rsidR="00A954C7" w:rsidRPr="00A954C7" w:rsidRDefault="00A954C7" w:rsidP="00A954C7">
      <w:pPr>
        <w:spacing w:after="0" w:line="240" w:lineRule="auto"/>
        <w:ind w:firstLine="720"/>
        <w:jc w:val="both"/>
        <w:rPr>
          <w:rFonts w:ascii="Times New Roman" w:hAnsi="Times New Roman"/>
          <w:bCs/>
          <w:i/>
          <w:iCs/>
          <w:color w:val="000000" w:themeColor="text1"/>
        </w:rPr>
      </w:pPr>
      <w:r w:rsidRPr="00A954C7">
        <w:rPr>
          <w:rFonts w:ascii="Times New Roman" w:hAnsi="Times New Roman"/>
          <w:bCs/>
          <w:i/>
          <w:iCs/>
          <w:color w:val="000000" w:themeColor="text1"/>
        </w:rPr>
        <w:t>4.2. Certification Criteria</w:t>
      </w:r>
    </w:p>
    <w:p w14:paraId="1F422C2C" w14:textId="77777777" w:rsidR="00A954C7" w:rsidRPr="00A954C7" w:rsidRDefault="00A954C7" w:rsidP="00A954C7">
      <w:pPr>
        <w:spacing w:after="0" w:line="240" w:lineRule="auto"/>
        <w:ind w:firstLine="720"/>
        <w:jc w:val="both"/>
        <w:rPr>
          <w:rFonts w:ascii="Times New Roman" w:hAnsi="Times New Roman"/>
          <w:bCs/>
          <w:color w:val="000000" w:themeColor="text1"/>
        </w:rPr>
      </w:pPr>
      <w:r w:rsidRPr="00A954C7">
        <w:rPr>
          <w:rFonts w:ascii="Times New Roman" w:hAnsi="Times New Roman"/>
          <w:bCs/>
          <w:color w:val="000000" w:themeColor="text1"/>
        </w:rPr>
        <w:t>Effective utilization of Flexi 2.0 necessitates specialized training in machine operation, data analytics, technological problem-solving, and safety measures. Students may not consistently have straightforward access to an abundance of training materials and tools, complicating their ability to master essential skills. Insufficient training may hinder students' capacity to effectively utilize Flexi 2.0, hence limiting their engagement in meaningful learning activities and the application of abstract concepts in practical contexts.</w:t>
      </w:r>
    </w:p>
    <w:p w14:paraId="48A553F9" w14:textId="77777777" w:rsidR="00A954C7" w:rsidRPr="00A954C7" w:rsidRDefault="00A954C7" w:rsidP="00A954C7">
      <w:pPr>
        <w:spacing w:after="0" w:line="240" w:lineRule="auto"/>
        <w:ind w:firstLine="720"/>
        <w:jc w:val="both"/>
        <w:rPr>
          <w:rFonts w:ascii="Times New Roman" w:hAnsi="Times New Roman"/>
          <w:bCs/>
          <w:color w:val="000000" w:themeColor="text1"/>
        </w:rPr>
      </w:pPr>
    </w:p>
    <w:p w14:paraId="099355F2" w14:textId="77777777" w:rsidR="00A954C7" w:rsidRPr="00A954C7" w:rsidRDefault="00A954C7" w:rsidP="00A954C7">
      <w:pPr>
        <w:spacing w:after="0" w:line="240" w:lineRule="auto"/>
        <w:ind w:firstLine="720"/>
        <w:jc w:val="both"/>
        <w:rPr>
          <w:rFonts w:ascii="Times New Roman" w:hAnsi="Times New Roman"/>
          <w:bCs/>
          <w:i/>
          <w:iCs/>
          <w:color w:val="000000" w:themeColor="text1"/>
        </w:rPr>
      </w:pPr>
      <w:r w:rsidRPr="00A954C7">
        <w:rPr>
          <w:rFonts w:ascii="Times New Roman" w:hAnsi="Times New Roman"/>
          <w:bCs/>
          <w:i/>
          <w:iCs/>
          <w:color w:val="000000" w:themeColor="text1"/>
        </w:rPr>
        <w:t>4.3. Limitations on Resources</w:t>
      </w:r>
    </w:p>
    <w:p w14:paraId="7454DA43" w14:textId="34E5D513" w:rsidR="00A954C7" w:rsidRPr="00A954C7" w:rsidRDefault="00A954C7" w:rsidP="00A954C7">
      <w:pPr>
        <w:spacing w:after="0" w:line="240" w:lineRule="auto"/>
        <w:ind w:firstLine="720"/>
        <w:jc w:val="both"/>
        <w:rPr>
          <w:rFonts w:ascii="Times New Roman" w:hAnsi="Times New Roman"/>
          <w:bCs/>
          <w:color w:val="000000" w:themeColor="text1"/>
        </w:rPr>
      </w:pPr>
      <w:r w:rsidRPr="00A954C7">
        <w:rPr>
          <w:rFonts w:ascii="Times New Roman" w:hAnsi="Times New Roman"/>
          <w:bCs/>
          <w:color w:val="000000" w:themeColor="text1"/>
        </w:rPr>
        <w:t>Educational institutions may have restricted access to the tools and resources necessary for the successful implementation of Flexi 2.0. Insufficient resources may impede students' ability to utilize technology in practical contexts, hence obstructing their comprehension of its potential (</w:t>
      </w:r>
      <w:proofErr w:type="spellStart"/>
      <w:r w:rsidR="00CA10EE">
        <w:rPr>
          <w:rFonts w:ascii="Times New Roman" w:hAnsi="Times New Roman"/>
          <w:bCs/>
          <w:color w:val="000000" w:themeColor="text1"/>
        </w:rPr>
        <w:t>Asmororini</w:t>
      </w:r>
      <w:proofErr w:type="spellEnd"/>
      <w:r w:rsidR="00CA10EE">
        <w:rPr>
          <w:rFonts w:ascii="Times New Roman" w:hAnsi="Times New Roman"/>
          <w:bCs/>
          <w:color w:val="000000" w:themeColor="text1"/>
        </w:rPr>
        <w:t xml:space="preserve">, Kinda &amp; Sen, 2024; Habibi, Jiyane &amp; </w:t>
      </w:r>
      <w:proofErr w:type="spellStart"/>
      <w:r w:rsidR="00CA10EE">
        <w:rPr>
          <w:rFonts w:ascii="Times New Roman" w:hAnsi="Times New Roman"/>
          <w:bCs/>
          <w:color w:val="000000" w:themeColor="text1"/>
        </w:rPr>
        <w:t>Ozsen</w:t>
      </w:r>
      <w:proofErr w:type="spellEnd"/>
      <w:r w:rsidR="00CA10EE">
        <w:rPr>
          <w:rFonts w:ascii="Times New Roman" w:hAnsi="Times New Roman"/>
          <w:bCs/>
          <w:color w:val="000000" w:themeColor="text1"/>
        </w:rPr>
        <w:t>, 2024</w:t>
      </w:r>
      <w:r w:rsidRPr="00A954C7">
        <w:rPr>
          <w:rFonts w:ascii="Times New Roman" w:hAnsi="Times New Roman"/>
          <w:bCs/>
          <w:color w:val="000000" w:themeColor="text1"/>
        </w:rPr>
        <w:t>). Moreover, children from underprivileged schools may encounter greater challenges in accessing and utilizing Flexi 2.0 compared to their counterparts at well-resourced institutions, hence exacerbating the disparity in educational chances.</w:t>
      </w:r>
    </w:p>
    <w:p w14:paraId="764622C4" w14:textId="77777777" w:rsidR="00A954C7" w:rsidRPr="00A954C7" w:rsidRDefault="00A954C7" w:rsidP="00A954C7">
      <w:pPr>
        <w:spacing w:after="0" w:line="240" w:lineRule="auto"/>
        <w:ind w:firstLine="720"/>
        <w:jc w:val="both"/>
        <w:rPr>
          <w:rFonts w:ascii="Times New Roman" w:hAnsi="Times New Roman"/>
          <w:bCs/>
          <w:color w:val="000000" w:themeColor="text1"/>
        </w:rPr>
      </w:pPr>
    </w:p>
    <w:p w14:paraId="7BB09EBA" w14:textId="77777777" w:rsidR="00A954C7" w:rsidRPr="00A954C7" w:rsidRDefault="00A954C7" w:rsidP="00A954C7">
      <w:pPr>
        <w:spacing w:after="0" w:line="240" w:lineRule="auto"/>
        <w:ind w:firstLine="720"/>
        <w:jc w:val="both"/>
        <w:rPr>
          <w:rFonts w:ascii="Times New Roman" w:hAnsi="Times New Roman"/>
          <w:bCs/>
          <w:i/>
          <w:iCs/>
          <w:color w:val="000000" w:themeColor="text1"/>
        </w:rPr>
      </w:pPr>
      <w:r w:rsidRPr="00A954C7">
        <w:rPr>
          <w:rFonts w:ascii="Times New Roman" w:hAnsi="Times New Roman"/>
          <w:bCs/>
          <w:i/>
          <w:iCs/>
          <w:color w:val="000000" w:themeColor="text1"/>
        </w:rPr>
        <w:t>4.4. Integration with the Curriculum</w:t>
      </w:r>
    </w:p>
    <w:p w14:paraId="41C64A91" w14:textId="77777777" w:rsidR="00A954C7" w:rsidRPr="00A954C7" w:rsidRDefault="00A954C7" w:rsidP="00A954C7">
      <w:pPr>
        <w:spacing w:after="0" w:line="240" w:lineRule="auto"/>
        <w:ind w:firstLine="720"/>
        <w:jc w:val="both"/>
        <w:rPr>
          <w:rFonts w:ascii="Times New Roman" w:hAnsi="Times New Roman"/>
          <w:bCs/>
          <w:color w:val="000000" w:themeColor="text1"/>
        </w:rPr>
      </w:pPr>
      <w:r w:rsidRPr="00A954C7">
        <w:rPr>
          <w:rFonts w:ascii="Times New Roman" w:hAnsi="Times New Roman"/>
          <w:bCs/>
          <w:color w:val="000000" w:themeColor="text1"/>
        </w:rPr>
        <w:t xml:space="preserve">Instructors encounter difficulties in aligning Flexi 2.0 with learning outcomes and instructional objectives while integrating it into the existing curriculum. Meticulous planning and coordination are essential to guarantee that the incorporation of an advanced manufacturing system such as Flexi 2.0 augments, rather than diminishes, the entire educational experience for students. Educators must develop instructional activities that cater to diverse student learning requirements and promote critical thinking and problem-solving abilities to effectively include Flexi 2.0 into the curriculum. </w:t>
      </w:r>
    </w:p>
    <w:p w14:paraId="5A5BDC35" w14:textId="77777777" w:rsidR="00A954C7" w:rsidRPr="00A954C7" w:rsidRDefault="00A954C7" w:rsidP="00A954C7">
      <w:pPr>
        <w:spacing w:after="0" w:line="240" w:lineRule="auto"/>
        <w:jc w:val="both"/>
        <w:rPr>
          <w:rFonts w:ascii="Times New Roman" w:hAnsi="Times New Roman"/>
          <w:bCs/>
          <w:color w:val="000000" w:themeColor="text1"/>
        </w:rPr>
      </w:pPr>
    </w:p>
    <w:p w14:paraId="111BBF7D" w14:textId="77777777" w:rsidR="00A954C7" w:rsidRPr="00A954C7" w:rsidRDefault="00A954C7" w:rsidP="00A954C7">
      <w:pPr>
        <w:spacing w:after="0" w:line="240" w:lineRule="auto"/>
        <w:ind w:firstLine="720"/>
        <w:jc w:val="both"/>
        <w:rPr>
          <w:rFonts w:ascii="Times New Roman" w:hAnsi="Times New Roman"/>
          <w:bCs/>
          <w:i/>
          <w:iCs/>
          <w:color w:val="000000" w:themeColor="text1"/>
        </w:rPr>
      </w:pPr>
      <w:r w:rsidRPr="00A954C7">
        <w:rPr>
          <w:rFonts w:ascii="Times New Roman" w:hAnsi="Times New Roman"/>
          <w:bCs/>
          <w:i/>
          <w:iCs/>
          <w:color w:val="000000" w:themeColor="text1"/>
        </w:rPr>
        <w:t>4.5. Modification to Shift</w:t>
      </w:r>
    </w:p>
    <w:p w14:paraId="708DD6E7" w14:textId="77777777" w:rsidR="00A954C7" w:rsidRPr="00A954C7" w:rsidRDefault="00A954C7" w:rsidP="00A954C7">
      <w:pPr>
        <w:spacing w:after="0" w:line="240" w:lineRule="auto"/>
        <w:ind w:firstLine="720"/>
        <w:jc w:val="both"/>
        <w:rPr>
          <w:rFonts w:ascii="Times New Roman" w:hAnsi="Times New Roman"/>
          <w:bCs/>
          <w:color w:val="000000" w:themeColor="text1"/>
        </w:rPr>
      </w:pPr>
      <w:r w:rsidRPr="00A954C7">
        <w:rPr>
          <w:rFonts w:ascii="Times New Roman" w:hAnsi="Times New Roman"/>
          <w:bCs/>
          <w:color w:val="000000" w:themeColor="text1"/>
        </w:rPr>
        <w:t>Students utilizing advanced technology such as Flexi 2.0 must exhibit adaptability and openness to novel ideas. Some youngsters may demonstrate resistance to change or experience discomfort when acclimating to a predominantly technology-driven educational setting. To assist students in surmounting their resistance to change and fostering a favorable disposition towards learning using Flexi 2.0, educators must provide unwavering support and encouragement. Educators must establish a safe and nurturing educational atmosphere that encourages students to experiment, investigate, and cultivate innovative concepts. Students will gain advantages as they transition seamlessly to Flexi 2.0.</w:t>
      </w:r>
    </w:p>
    <w:p w14:paraId="0C7A5A7A" w14:textId="77777777" w:rsidR="00A954C7" w:rsidRPr="00A954C7" w:rsidRDefault="00A954C7" w:rsidP="00A954C7">
      <w:pPr>
        <w:spacing w:after="0" w:line="240" w:lineRule="auto"/>
        <w:ind w:firstLine="720"/>
        <w:jc w:val="both"/>
        <w:rPr>
          <w:rFonts w:ascii="Times New Roman" w:hAnsi="Times New Roman"/>
          <w:bCs/>
          <w:color w:val="000000" w:themeColor="text1"/>
        </w:rPr>
      </w:pPr>
    </w:p>
    <w:p w14:paraId="4CEDA5DA" w14:textId="77777777" w:rsidR="00A954C7" w:rsidRPr="00A954C7" w:rsidRDefault="00A954C7" w:rsidP="00A954C7">
      <w:pPr>
        <w:spacing w:after="0" w:line="240" w:lineRule="auto"/>
        <w:ind w:firstLine="720"/>
        <w:jc w:val="both"/>
        <w:rPr>
          <w:rFonts w:ascii="Times New Roman" w:hAnsi="Times New Roman"/>
          <w:bCs/>
          <w:i/>
          <w:iCs/>
          <w:color w:val="000000" w:themeColor="text1"/>
        </w:rPr>
      </w:pPr>
      <w:r w:rsidRPr="00A954C7">
        <w:rPr>
          <w:rFonts w:ascii="Times New Roman" w:hAnsi="Times New Roman"/>
          <w:bCs/>
          <w:i/>
          <w:iCs/>
          <w:color w:val="000000" w:themeColor="text1"/>
        </w:rPr>
        <w:t>4.6. Understanding Complex Outputs</w:t>
      </w:r>
    </w:p>
    <w:p w14:paraId="54008A7D" w14:textId="77777777" w:rsidR="00A954C7" w:rsidRPr="00A954C7" w:rsidRDefault="00A954C7" w:rsidP="00A954C7">
      <w:pPr>
        <w:spacing w:after="0" w:line="240" w:lineRule="auto"/>
        <w:ind w:firstLine="720"/>
        <w:jc w:val="both"/>
        <w:rPr>
          <w:rFonts w:ascii="Times New Roman" w:hAnsi="Times New Roman"/>
          <w:bCs/>
          <w:color w:val="000000" w:themeColor="text1"/>
        </w:rPr>
      </w:pPr>
      <w:r w:rsidRPr="00A954C7">
        <w:rPr>
          <w:rFonts w:ascii="Times New Roman" w:hAnsi="Times New Roman"/>
          <w:bCs/>
          <w:color w:val="000000" w:themeColor="text1"/>
        </w:rPr>
        <w:t xml:space="preserve">Due to </w:t>
      </w:r>
      <w:proofErr w:type="spellStart"/>
      <w:r w:rsidRPr="00A954C7">
        <w:rPr>
          <w:rFonts w:ascii="Times New Roman" w:hAnsi="Times New Roman"/>
          <w:bCs/>
          <w:color w:val="000000" w:themeColor="text1"/>
        </w:rPr>
        <w:t>MathGPT's</w:t>
      </w:r>
      <w:proofErr w:type="spellEnd"/>
      <w:r w:rsidRPr="00A954C7">
        <w:rPr>
          <w:rFonts w:ascii="Times New Roman" w:hAnsi="Times New Roman"/>
          <w:bCs/>
          <w:color w:val="000000" w:themeColor="text1"/>
        </w:rPr>
        <w:t xml:space="preserve"> generation of explanations and solutions in colloquial English, students may encounter difficulties comprehending intricate mathematical ideas. Students may struggle to understand the processes that </w:t>
      </w: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 xml:space="preserve"> employs to resolve a problem, particularly when confronted with complex mathematical ideas or advanced problem-solving methods.</w:t>
      </w:r>
    </w:p>
    <w:p w14:paraId="33CDC5A3" w14:textId="77777777" w:rsidR="00A954C7" w:rsidRPr="00A954C7" w:rsidRDefault="00A954C7" w:rsidP="00A954C7">
      <w:pPr>
        <w:spacing w:after="0" w:line="240" w:lineRule="auto"/>
        <w:ind w:firstLine="720"/>
        <w:jc w:val="both"/>
        <w:rPr>
          <w:rFonts w:ascii="Times New Roman" w:hAnsi="Times New Roman"/>
          <w:bCs/>
          <w:color w:val="000000" w:themeColor="text1"/>
        </w:rPr>
      </w:pPr>
    </w:p>
    <w:p w14:paraId="7823CB17" w14:textId="77777777" w:rsidR="00A954C7" w:rsidRPr="00A954C7" w:rsidRDefault="00A954C7" w:rsidP="00A954C7">
      <w:pPr>
        <w:spacing w:after="0" w:line="240" w:lineRule="auto"/>
        <w:ind w:firstLine="720"/>
        <w:jc w:val="both"/>
        <w:rPr>
          <w:rFonts w:ascii="Times New Roman" w:hAnsi="Times New Roman"/>
          <w:bCs/>
          <w:i/>
          <w:iCs/>
          <w:color w:val="000000" w:themeColor="text1"/>
        </w:rPr>
      </w:pPr>
      <w:r w:rsidRPr="00A954C7">
        <w:rPr>
          <w:rFonts w:ascii="Times New Roman" w:hAnsi="Times New Roman"/>
          <w:bCs/>
          <w:i/>
          <w:iCs/>
          <w:color w:val="000000" w:themeColor="text1"/>
        </w:rPr>
        <w:t>4.7. Dependence on technology</w:t>
      </w:r>
    </w:p>
    <w:p w14:paraId="10331922" w14:textId="77777777" w:rsidR="00A954C7" w:rsidRPr="00A954C7" w:rsidRDefault="00A954C7" w:rsidP="00A954C7">
      <w:pPr>
        <w:spacing w:after="0" w:line="240" w:lineRule="auto"/>
        <w:ind w:firstLine="720"/>
        <w:jc w:val="both"/>
        <w:rPr>
          <w:rFonts w:ascii="Times New Roman" w:hAnsi="Times New Roman"/>
          <w:bCs/>
          <w:color w:val="000000" w:themeColor="text1"/>
        </w:rPr>
      </w:pPr>
      <w:r w:rsidRPr="00A954C7">
        <w:rPr>
          <w:rFonts w:ascii="Times New Roman" w:hAnsi="Times New Roman"/>
          <w:bCs/>
          <w:color w:val="000000" w:themeColor="text1"/>
        </w:rPr>
        <w:t xml:space="preserve">Excessive reliance on </w:t>
      </w: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 xml:space="preserve"> for solving mathematical problems may lead children to develop technology dependence. This may hinder students' capacity to develop critical thinking and problem-solving skills, as they can become reliant on </w:t>
      </w: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 xml:space="preserve"> for solutions instead of actively participating in the problem-solving process (Iqbal, M., Farida, L. Z. N., &amp; Win, K. T., 2023). </w:t>
      </w:r>
    </w:p>
    <w:p w14:paraId="1357F6DC" w14:textId="77777777" w:rsidR="00A954C7" w:rsidRPr="00A954C7" w:rsidRDefault="00A954C7" w:rsidP="00A954C7">
      <w:pPr>
        <w:spacing w:after="0" w:line="240" w:lineRule="auto"/>
        <w:ind w:firstLine="720"/>
        <w:jc w:val="both"/>
        <w:rPr>
          <w:rFonts w:ascii="Times New Roman" w:hAnsi="Times New Roman"/>
          <w:bCs/>
          <w:color w:val="000000" w:themeColor="text1"/>
        </w:rPr>
      </w:pPr>
    </w:p>
    <w:p w14:paraId="30A610AB" w14:textId="77777777" w:rsidR="00A954C7" w:rsidRPr="00A954C7" w:rsidRDefault="00A954C7" w:rsidP="00A954C7">
      <w:pPr>
        <w:spacing w:after="0" w:line="240" w:lineRule="auto"/>
        <w:ind w:firstLine="720"/>
        <w:jc w:val="both"/>
        <w:rPr>
          <w:rFonts w:ascii="Times New Roman" w:hAnsi="Times New Roman"/>
          <w:bCs/>
          <w:i/>
          <w:iCs/>
          <w:color w:val="000000" w:themeColor="text1"/>
        </w:rPr>
      </w:pPr>
      <w:r w:rsidRPr="00A954C7">
        <w:rPr>
          <w:rFonts w:ascii="Times New Roman" w:hAnsi="Times New Roman"/>
          <w:bCs/>
          <w:i/>
          <w:iCs/>
          <w:color w:val="000000" w:themeColor="text1"/>
        </w:rPr>
        <w:t>4.8. Verification and Validation</w:t>
      </w:r>
    </w:p>
    <w:p w14:paraId="6DDA332E" w14:textId="77777777" w:rsidR="00A954C7" w:rsidRPr="00A954C7" w:rsidRDefault="00A954C7" w:rsidP="00A954C7">
      <w:pPr>
        <w:spacing w:after="0" w:line="240" w:lineRule="auto"/>
        <w:ind w:firstLine="720"/>
        <w:jc w:val="both"/>
        <w:rPr>
          <w:rFonts w:ascii="Times New Roman" w:hAnsi="Times New Roman"/>
          <w:bCs/>
          <w:color w:val="000000" w:themeColor="text1"/>
        </w:rPr>
      </w:pPr>
      <w:r w:rsidRPr="00A954C7">
        <w:rPr>
          <w:rFonts w:ascii="Times New Roman" w:hAnsi="Times New Roman"/>
          <w:bCs/>
          <w:color w:val="000000" w:themeColor="text1"/>
        </w:rPr>
        <w:t xml:space="preserve">Although </w:t>
      </w: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 xml:space="preserve"> strives to deliver precise solutions, students must still verify and validate the accuracy of the generated outputs. Students must possess a robust foundation in mathematics and critical thinking skills to assess the accuracy and coherence of the answers offered by </w:t>
      </w: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w:t>
      </w:r>
    </w:p>
    <w:p w14:paraId="66EA5B5A" w14:textId="77777777" w:rsidR="00A954C7" w:rsidRPr="00A954C7" w:rsidRDefault="00A954C7" w:rsidP="00A954C7">
      <w:pPr>
        <w:spacing w:after="0" w:line="240" w:lineRule="auto"/>
        <w:ind w:firstLine="720"/>
        <w:jc w:val="both"/>
        <w:rPr>
          <w:rFonts w:ascii="Times New Roman" w:hAnsi="Times New Roman"/>
          <w:bCs/>
          <w:color w:val="000000" w:themeColor="text1"/>
        </w:rPr>
      </w:pPr>
    </w:p>
    <w:p w14:paraId="47BF7E69" w14:textId="77777777" w:rsidR="00A954C7" w:rsidRPr="00A954C7" w:rsidRDefault="00A954C7" w:rsidP="00A954C7">
      <w:pPr>
        <w:spacing w:after="0" w:line="240" w:lineRule="auto"/>
        <w:ind w:firstLine="720"/>
        <w:jc w:val="both"/>
        <w:rPr>
          <w:rFonts w:ascii="Times New Roman" w:hAnsi="Times New Roman"/>
          <w:bCs/>
          <w:i/>
          <w:iCs/>
          <w:color w:val="000000" w:themeColor="text1"/>
        </w:rPr>
      </w:pPr>
      <w:r w:rsidRPr="00A954C7">
        <w:rPr>
          <w:rFonts w:ascii="Times New Roman" w:hAnsi="Times New Roman"/>
          <w:bCs/>
          <w:i/>
          <w:iCs/>
          <w:color w:val="000000" w:themeColor="text1"/>
        </w:rPr>
        <w:t>4.9. Integration with the Learning Process</w:t>
      </w:r>
    </w:p>
    <w:p w14:paraId="18615F82" w14:textId="77777777" w:rsidR="00A954C7" w:rsidRPr="00A954C7" w:rsidRDefault="00A954C7" w:rsidP="00A954C7">
      <w:pPr>
        <w:spacing w:after="0" w:line="240" w:lineRule="auto"/>
        <w:ind w:firstLine="720"/>
        <w:jc w:val="both"/>
        <w:rPr>
          <w:rFonts w:ascii="Times New Roman" w:hAnsi="Times New Roman"/>
          <w:bCs/>
          <w:color w:val="000000" w:themeColor="text1"/>
        </w:rPr>
      </w:pPr>
      <w:r w:rsidRPr="00A954C7">
        <w:rPr>
          <w:rFonts w:ascii="Times New Roman" w:hAnsi="Times New Roman"/>
          <w:bCs/>
          <w:color w:val="000000" w:themeColor="text1"/>
        </w:rPr>
        <w:t xml:space="preserve">Students must effectively employ </w:t>
      </w:r>
      <w:proofErr w:type="spellStart"/>
      <w:r w:rsidRPr="00A954C7">
        <w:rPr>
          <w:rFonts w:ascii="Times New Roman" w:hAnsi="Times New Roman"/>
          <w:bCs/>
          <w:color w:val="000000" w:themeColor="text1"/>
        </w:rPr>
        <w:t>MathGPT's</w:t>
      </w:r>
      <w:proofErr w:type="spellEnd"/>
      <w:r w:rsidRPr="00A954C7">
        <w:rPr>
          <w:rFonts w:ascii="Times New Roman" w:hAnsi="Times New Roman"/>
          <w:bCs/>
          <w:color w:val="000000" w:themeColor="text1"/>
        </w:rPr>
        <w:t xml:space="preserve"> functionalities to deepen their comprehension of mathematical ideas for its proper integration into the educational process. Nonetheless, many students may encounter difficulties in incorporating </w:t>
      </w: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 xml:space="preserve"> into their standard curriculum and may necessitate support in mastering its application as an adjunct to conventional pedagogical approaches.</w:t>
      </w:r>
    </w:p>
    <w:p w14:paraId="6A99BE23" w14:textId="77777777" w:rsidR="00A954C7" w:rsidRPr="00A954C7" w:rsidRDefault="00A954C7" w:rsidP="00A954C7">
      <w:pPr>
        <w:spacing w:after="0" w:line="240" w:lineRule="auto"/>
        <w:ind w:firstLine="720"/>
        <w:jc w:val="both"/>
        <w:rPr>
          <w:rFonts w:ascii="Times New Roman" w:hAnsi="Times New Roman"/>
          <w:bCs/>
          <w:color w:val="000000" w:themeColor="text1"/>
        </w:rPr>
      </w:pPr>
    </w:p>
    <w:p w14:paraId="27204299" w14:textId="77777777" w:rsidR="00A954C7" w:rsidRPr="00A954C7" w:rsidRDefault="00A954C7" w:rsidP="00A954C7">
      <w:pPr>
        <w:spacing w:after="0" w:line="240" w:lineRule="auto"/>
        <w:ind w:firstLine="720"/>
        <w:jc w:val="both"/>
        <w:rPr>
          <w:rFonts w:ascii="Times New Roman" w:hAnsi="Times New Roman"/>
          <w:bCs/>
          <w:i/>
          <w:iCs/>
          <w:color w:val="000000" w:themeColor="text1"/>
        </w:rPr>
      </w:pPr>
      <w:r w:rsidRPr="00A954C7">
        <w:rPr>
          <w:rFonts w:ascii="Times New Roman" w:hAnsi="Times New Roman"/>
          <w:bCs/>
          <w:i/>
          <w:iCs/>
          <w:color w:val="000000" w:themeColor="text1"/>
        </w:rPr>
        <w:t>4.10. Security and Privacy Concerns</w:t>
      </w:r>
    </w:p>
    <w:p w14:paraId="1BA7A10E" w14:textId="77777777" w:rsidR="00A954C7" w:rsidRPr="00A954C7" w:rsidRDefault="00A954C7" w:rsidP="00A954C7">
      <w:pPr>
        <w:spacing w:after="0" w:line="240" w:lineRule="auto"/>
        <w:ind w:firstLine="720"/>
        <w:jc w:val="both"/>
        <w:rPr>
          <w:rFonts w:ascii="Times New Roman" w:hAnsi="Times New Roman"/>
          <w:bCs/>
          <w:color w:val="000000" w:themeColor="text1"/>
        </w:rPr>
      </w:pP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 xml:space="preserve"> is an online program, and students may have concerns regarding security and privacy, particularly when inputting private or sensitive information. By addressing these issues and safeguarding user data privacy and confidentiality, </w:t>
      </w: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 xml:space="preserve"> can earn the respect and trust of pupils.</w:t>
      </w:r>
    </w:p>
    <w:p w14:paraId="08DA55C7" w14:textId="77777777" w:rsidR="00A954C7" w:rsidRPr="00A954C7" w:rsidRDefault="00A954C7" w:rsidP="00A954C7">
      <w:pPr>
        <w:spacing w:after="0" w:line="240" w:lineRule="auto"/>
        <w:ind w:firstLine="720"/>
        <w:jc w:val="both"/>
        <w:rPr>
          <w:rFonts w:ascii="Times New Roman" w:hAnsi="Times New Roman"/>
          <w:bCs/>
          <w:color w:val="000000" w:themeColor="text1"/>
        </w:rPr>
      </w:pPr>
    </w:p>
    <w:p w14:paraId="3B1975E8" w14:textId="77777777" w:rsidR="00A954C7" w:rsidRPr="00A954C7" w:rsidRDefault="00A954C7" w:rsidP="00A954C7">
      <w:pPr>
        <w:spacing w:after="0" w:line="240" w:lineRule="auto"/>
        <w:ind w:firstLine="720"/>
        <w:jc w:val="both"/>
        <w:rPr>
          <w:rFonts w:ascii="Times New Roman" w:hAnsi="Times New Roman"/>
          <w:bCs/>
          <w:i/>
          <w:iCs/>
          <w:color w:val="000000" w:themeColor="text1"/>
        </w:rPr>
      </w:pPr>
      <w:r w:rsidRPr="00A954C7">
        <w:rPr>
          <w:rFonts w:ascii="Times New Roman" w:hAnsi="Times New Roman"/>
          <w:bCs/>
          <w:i/>
          <w:iCs/>
          <w:color w:val="000000" w:themeColor="text1"/>
        </w:rPr>
        <w:t>4.11. Educational Consistency</w:t>
      </w:r>
    </w:p>
    <w:p w14:paraId="5ACD0B1D" w14:textId="77777777" w:rsidR="00A954C7" w:rsidRPr="00A954C7" w:rsidRDefault="00A954C7" w:rsidP="00A954C7">
      <w:pPr>
        <w:spacing w:after="0" w:line="240" w:lineRule="auto"/>
        <w:ind w:firstLine="720"/>
        <w:jc w:val="both"/>
        <w:rPr>
          <w:rFonts w:ascii="Times New Roman" w:hAnsi="Times New Roman"/>
          <w:bCs/>
          <w:color w:val="000000" w:themeColor="text1"/>
        </w:rPr>
      </w:pPr>
      <w:r w:rsidRPr="00A954C7">
        <w:rPr>
          <w:rFonts w:ascii="Times New Roman" w:hAnsi="Times New Roman"/>
          <w:bCs/>
          <w:color w:val="000000" w:themeColor="text1"/>
        </w:rPr>
        <w:t xml:space="preserve">Educators must incorporate </w:t>
      </w: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 xml:space="preserve"> into their lesson plans to augment the educational experiences of their pupils. To promote active learning and reinforce mathematical concepts, this entails creating educational exercises that utilize </w:t>
      </w:r>
      <w:proofErr w:type="spellStart"/>
      <w:r w:rsidRPr="00A954C7">
        <w:rPr>
          <w:rFonts w:ascii="Times New Roman" w:hAnsi="Times New Roman"/>
          <w:bCs/>
          <w:color w:val="000000" w:themeColor="text1"/>
        </w:rPr>
        <w:t>MathGPT's</w:t>
      </w:r>
      <w:proofErr w:type="spellEnd"/>
      <w:r w:rsidRPr="00A954C7">
        <w:rPr>
          <w:rFonts w:ascii="Times New Roman" w:hAnsi="Times New Roman"/>
          <w:bCs/>
          <w:color w:val="000000" w:themeColor="text1"/>
        </w:rPr>
        <w:t xml:space="preserve"> features. Nonetheless, obstacles may arise in the substantial integration of </w:t>
      </w: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 xml:space="preserve"> into the curriculum, particularly if educators lack familiarity with the technology or are uncertain about incorporating it into existing lesson plans.</w:t>
      </w:r>
    </w:p>
    <w:p w14:paraId="07303C78" w14:textId="77777777" w:rsidR="00A954C7" w:rsidRPr="00A954C7" w:rsidRDefault="00A954C7" w:rsidP="00A954C7">
      <w:pPr>
        <w:spacing w:after="0" w:line="240" w:lineRule="auto"/>
        <w:ind w:firstLine="720"/>
        <w:jc w:val="both"/>
        <w:rPr>
          <w:rFonts w:ascii="Times New Roman" w:hAnsi="Times New Roman"/>
          <w:bCs/>
          <w:color w:val="000000" w:themeColor="text1"/>
        </w:rPr>
      </w:pPr>
    </w:p>
    <w:p w14:paraId="608C6E68" w14:textId="77777777" w:rsidR="00A954C7" w:rsidRPr="00A954C7" w:rsidRDefault="00A954C7" w:rsidP="00A954C7">
      <w:pPr>
        <w:spacing w:after="0" w:line="240" w:lineRule="auto"/>
        <w:ind w:firstLine="720"/>
        <w:jc w:val="both"/>
        <w:rPr>
          <w:rFonts w:ascii="Times New Roman" w:hAnsi="Times New Roman"/>
          <w:bCs/>
          <w:i/>
          <w:iCs/>
          <w:color w:val="000000" w:themeColor="text1"/>
        </w:rPr>
      </w:pPr>
      <w:r w:rsidRPr="00A954C7">
        <w:rPr>
          <w:rFonts w:ascii="Times New Roman" w:hAnsi="Times New Roman"/>
          <w:bCs/>
          <w:i/>
          <w:iCs/>
          <w:color w:val="000000" w:themeColor="text1"/>
        </w:rPr>
        <w:t>4.12. Quality Assurance</w:t>
      </w:r>
    </w:p>
    <w:p w14:paraId="06746912" w14:textId="77777777" w:rsidR="00A954C7" w:rsidRPr="00A954C7" w:rsidRDefault="00A954C7" w:rsidP="00A954C7">
      <w:pPr>
        <w:spacing w:after="0" w:line="240" w:lineRule="auto"/>
        <w:ind w:firstLine="720"/>
        <w:jc w:val="both"/>
        <w:rPr>
          <w:rFonts w:ascii="Times New Roman" w:hAnsi="Times New Roman"/>
          <w:bCs/>
          <w:color w:val="000000" w:themeColor="text1"/>
        </w:rPr>
      </w:pPr>
      <w:r w:rsidRPr="00A954C7">
        <w:rPr>
          <w:rFonts w:ascii="Times New Roman" w:hAnsi="Times New Roman"/>
          <w:bCs/>
          <w:color w:val="000000" w:themeColor="text1"/>
        </w:rPr>
        <w:t xml:space="preserve">Ensuring the precision and dependability of </w:t>
      </w:r>
      <w:proofErr w:type="spellStart"/>
      <w:r w:rsidRPr="00A954C7">
        <w:rPr>
          <w:rFonts w:ascii="Times New Roman" w:hAnsi="Times New Roman"/>
          <w:bCs/>
          <w:color w:val="000000" w:themeColor="text1"/>
        </w:rPr>
        <w:t>MathGPT's</w:t>
      </w:r>
      <w:proofErr w:type="spellEnd"/>
      <w:r w:rsidRPr="00A954C7">
        <w:rPr>
          <w:rFonts w:ascii="Times New Roman" w:hAnsi="Times New Roman"/>
          <w:bCs/>
          <w:color w:val="000000" w:themeColor="text1"/>
        </w:rPr>
        <w:t xml:space="preserve"> outcomes is essential for educators. Before incorporating </w:t>
      </w: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 xml:space="preserve"> solutions into lesson plans or assigning them to students, instructors must evaluate the quality of the responses and confirm their accuracy. Teachers must have a profound comprehension of the subject and the capacity to critically evaluate mathematical answers.</w:t>
      </w:r>
    </w:p>
    <w:p w14:paraId="1386C0B0" w14:textId="77777777" w:rsidR="00A954C7" w:rsidRPr="00A954C7" w:rsidRDefault="00A954C7" w:rsidP="00A954C7">
      <w:pPr>
        <w:spacing w:after="0" w:line="240" w:lineRule="auto"/>
        <w:jc w:val="both"/>
        <w:rPr>
          <w:rFonts w:ascii="Times New Roman" w:hAnsi="Times New Roman"/>
          <w:bCs/>
          <w:color w:val="000000" w:themeColor="text1"/>
        </w:rPr>
      </w:pPr>
    </w:p>
    <w:p w14:paraId="339AD909" w14:textId="77777777" w:rsidR="00A954C7" w:rsidRPr="00A954C7" w:rsidRDefault="00A954C7" w:rsidP="00A954C7">
      <w:pPr>
        <w:spacing w:after="0" w:line="240" w:lineRule="auto"/>
        <w:ind w:firstLine="720"/>
        <w:jc w:val="both"/>
        <w:rPr>
          <w:rFonts w:ascii="Times New Roman" w:hAnsi="Times New Roman"/>
          <w:bCs/>
          <w:i/>
          <w:iCs/>
          <w:color w:val="000000" w:themeColor="text1"/>
        </w:rPr>
      </w:pPr>
      <w:r w:rsidRPr="00A954C7">
        <w:rPr>
          <w:rFonts w:ascii="Times New Roman" w:hAnsi="Times New Roman"/>
          <w:bCs/>
          <w:i/>
          <w:iCs/>
          <w:color w:val="000000" w:themeColor="text1"/>
        </w:rPr>
        <w:t>4.13. Promotion of Analytical Thought</w:t>
      </w:r>
    </w:p>
    <w:p w14:paraId="5684F17B" w14:textId="77777777" w:rsidR="00A954C7" w:rsidRPr="00A954C7" w:rsidRDefault="00A954C7" w:rsidP="00A954C7">
      <w:pPr>
        <w:spacing w:after="0" w:line="240" w:lineRule="auto"/>
        <w:ind w:firstLine="720"/>
        <w:jc w:val="both"/>
        <w:rPr>
          <w:rFonts w:ascii="Times New Roman" w:hAnsi="Times New Roman"/>
          <w:bCs/>
          <w:color w:val="000000" w:themeColor="text1"/>
        </w:rPr>
      </w:pPr>
      <w:r w:rsidRPr="00A954C7">
        <w:rPr>
          <w:rFonts w:ascii="Times New Roman" w:hAnsi="Times New Roman"/>
          <w:bCs/>
          <w:color w:val="000000" w:themeColor="text1"/>
        </w:rPr>
        <w:t xml:space="preserve">It is essential to guarantee fair access to </w:t>
      </w: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 xml:space="preserve"> for all pupils. Educators must take into account factors such as technological accessibility and internet connectivity while integrating </w:t>
      </w: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 xml:space="preserve"> into their curricula. Moreover, educators must consider the requirements of students with disabilities and guarantee that </w:t>
      </w: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 xml:space="preserve"> is accessible to all learners, irrespective of their specific educational demands.</w:t>
      </w:r>
    </w:p>
    <w:p w14:paraId="4530D2E6" w14:textId="77777777" w:rsidR="00A954C7" w:rsidRPr="00A954C7" w:rsidRDefault="00A954C7" w:rsidP="00A954C7">
      <w:pPr>
        <w:spacing w:after="0" w:line="240" w:lineRule="auto"/>
        <w:ind w:firstLine="720"/>
        <w:jc w:val="both"/>
        <w:rPr>
          <w:rFonts w:ascii="Times New Roman" w:hAnsi="Times New Roman"/>
          <w:bCs/>
          <w:color w:val="000000" w:themeColor="text1"/>
        </w:rPr>
      </w:pPr>
    </w:p>
    <w:p w14:paraId="7D17ABE0" w14:textId="77777777" w:rsidR="00A954C7" w:rsidRPr="00A954C7" w:rsidRDefault="00A954C7" w:rsidP="00A954C7">
      <w:pPr>
        <w:spacing w:after="0" w:line="240" w:lineRule="auto"/>
        <w:ind w:firstLine="720"/>
        <w:jc w:val="both"/>
        <w:rPr>
          <w:rFonts w:ascii="Times New Roman" w:hAnsi="Times New Roman"/>
          <w:bCs/>
          <w:i/>
          <w:iCs/>
          <w:color w:val="000000" w:themeColor="text1"/>
        </w:rPr>
      </w:pPr>
      <w:r w:rsidRPr="00A954C7">
        <w:rPr>
          <w:rFonts w:ascii="Times New Roman" w:hAnsi="Times New Roman"/>
          <w:bCs/>
          <w:i/>
          <w:iCs/>
          <w:color w:val="000000" w:themeColor="text1"/>
        </w:rPr>
        <w:t>4.14. Addressing Accessibility and Equity</w:t>
      </w:r>
    </w:p>
    <w:p w14:paraId="6C53925F" w14:textId="1029A6EA" w:rsidR="006E7685" w:rsidRDefault="00A954C7" w:rsidP="00A954C7">
      <w:pPr>
        <w:spacing w:after="0" w:line="240" w:lineRule="auto"/>
        <w:ind w:firstLine="720"/>
        <w:jc w:val="both"/>
        <w:rPr>
          <w:rFonts w:ascii="Times New Roman" w:hAnsi="Times New Roman"/>
          <w:bCs/>
          <w:color w:val="000000" w:themeColor="text1"/>
        </w:rPr>
      </w:pPr>
      <w:r w:rsidRPr="00A954C7">
        <w:rPr>
          <w:rFonts w:ascii="Times New Roman" w:hAnsi="Times New Roman"/>
          <w:bCs/>
          <w:color w:val="000000" w:themeColor="text1"/>
        </w:rPr>
        <w:t xml:space="preserve">Guaranteeing equitable access to </w:t>
      </w: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 xml:space="preserve"> for all pupils is essential. Educators must take into account elements such as internet connectivity and technological accessibility while integrating </w:t>
      </w: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 xml:space="preserve"> into their curricula. Educators are also required to consider the needs of students with disabilities and guarantee that </w:t>
      </w:r>
      <w:proofErr w:type="spellStart"/>
      <w:r w:rsidRPr="00A954C7">
        <w:rPr>
          <w:rFonts w:ascii="Times New Roman" w:hAnsi="Times New Roman"/>
          <w:bCs/>
          <w:color w:val="000000" w:themeColor="text1"/>
        </w:rPr>
        <w:t>MathGPT</w:t>
      </w:r>
      <w:proofErr w:type="spellEnd"/>
      <w:r w:rsidRPr="00A954C7">
        <w:rPr>
          <w:rFonts w:ascii="Times New Roman" w:hAnsi="Times New Roman"/>
          <w:bCs/>
          <w:color w:val="000000" w:themeColor="text1"/>
        </w:rPr>
        <w:t xml:space="preserve"> is accessible to all learners, irrespective of their specific learning requirements.</w:t>
      </w:r>
    </w:p>
    <w:p w14:paraId="5EE3D8EC" w14:textId="77777777" w:rsidR="00A954C7" w:rsidRPr="006E7685" w:rsidRDefault="00A954C7" w:rsidP="00A954C7">
      <w:pPr>
        <w:spacing w:after="0" w:line="240" w:lineRule="auto"/>
        <w:ind w:firstLine="720"/>
        <w:jc w:val="both"/>
        <w:rPr>
          <w:rFonts w:ascii="Times New Roman" w:hAnsi="Times New Roman"/>
          <w:lang w:val="en-PH" w:eastAsia="en-PH"/>
        </w:rPr>
      </w:pPr>
    </w:p>
    <w:p w14:paraId="5D2331A8" w14:textId="77777777" w:rsidR="006E7685" w:rsidRPr="006E7685" w:rsidRDefault="006E7685" w:rsidP="006E7685">
      <w:pPr>
        <w:pStyle w:val="ListParagraph"/>
        <w:numPr>
          <w:ilvl w:val="0"/>
          <w:numId w:val="20"/>
        </w:numPr>
        <w:shd w:val="clear" w:color="auto" w:fill="FFFFFF"/>
        <w:spacing w:after="0" w:line="240" w:lineRule="auto"/>
        <w:jc w:val="both"/>
        <w:rPr>
          <w:rFonts w:ascii="Times New Roman" w:hAnsi="Times New Roman"/>
          <w:b/>
          <w:color w:val="000000" w:themeColor="text1"/>
        </w:rPr>
      </w:pPr>
      <w:r w:rsidRPr="006E7685">
        <w:rPr>
          <w:rFonts w:ascii="Times New Roman" w:hAnsi="Times New Roman"/>
          <w:b/>
          <w:color w:val="000000" w:themeColor="text1"/>
        </w:rPr>
        <w:t>Opportunities</w:t>
      </w:r>
    </w:p>
    <w:p w14:paraId="7D422530" w14:textId="77777777" w:rsidR="00A954C7" w:rsidRPr="00A954C7" w:rsidRDefault="00A954C7" w:rsidP="00A954C7">
      <w:pPr>
        <w:pStyle w:val="E-JournalHeading1"/>
        <w:spacing w:after="0"/>
        <w:ind w:firstLine="360"/>
        <w:jc w:val="both"/>
        <w:rPr>
          <w:b w:val="0"/>
          <w:bCs/>
          <w:color w:val="000000" w:themeColor="text1"/>
        </w:rPr>
      </w:pPr>
      <w:r w:rsidRPr="00A954C7">
        <w:rPr>
          <w:b w:val="0"/>
          <w:bCs/>
          <w:color w:val="000000" w:themeColor="text1"/>
        </w:rPr>
        <w:t xml:space="preserve">The subsequent potential </w:t>
      </w:r>
      <w:proofErr w:type="gramStart"/>
      <w:r w:rsidRPr="00A954C7">
        <w:rPr>
          <w:b w:val="0"/>
          <w:bCs/>
          <w:color w:val="000000" w:themeColor="text1"/>
        </w:rPr>
        <w:t>were</w:t>
      </w:r>
      <w:proofErr w:type="gramEnd"/>
      <w:r w:rsidRPr="00A954C7">
        <w:rPr>
          <w:b w:val="0"/>
          <w:bCs/>
          <w:color w:val="000000" w:themeColor="text1"/>
        </w:rPr>
        <w:t xml:space="preserve"> recognized in utilizing </w:t>
      </w:r>
      <w:proofErr w:type="spellStart"/>
      <w:r w:rsidRPr="00A954C7">
        <w:rPr>
          <w:b w:val="0"/>
          <w:bCs/>
          <w:color w:val="000000" w:themeColor="text1"/>
        </w:rPr>
        <w:t>MathGPT</w:t>
      </w:r>
      <w:proofErr w:type="spellEnd"/>
      <w:r w:rsidRPr="00A954C7">
        <w:rPr>
          <w:b w:val="0"/>
          <w:bCs/>
          <w:color w:val="000000" w:themeColor="text1"/>
        </w:rPr>
        <w:t xml:space="preserve"> and Flexi 2.0 as mathematical tutors for Calculus.</w:t>
      </w:r>
    </w:p>
    <w:p w14:paraId="373E1F24" w14:textId="77777777" w:rsidR="00A954C7" w:rsidRPr="00A954C7" w:rsidRDefault="00A954C7" w:rsidP="00A954C7">
      <w:pPr>
        <w:pStyle w:val="E-JournalHeading1"/>
        <w:spacing w:after="0"/>
        <w:jc w:val="both"/>
        <w:rPr>
          <w:b w:val="0"/>
          <w:bCs/>
          <w:i/>
          <w:iCs/>
          <w:color w:val="000000" w:themeColor="text1"/>
        </w:rPr>
      </w:pPr>
      <w:r w:rsidRPr="00A954C7">
        <w:rPr>
          <w:b w:val="0"/>
          <w:bCs/>
          <w:i/>
          <w:iCs/>
          <w:color w:val="000000" w:themeColor="text1"/>
        </w:rPr>
        <w:t>Convergence of Theory and Practice</w:t>
      </w:r>
    </w:p>
    <w:p w14:paraId="015DC0B0" w14:textId="36D3E582" w:rsidR="00A954C7" w:rsidRDefault="00A954C7" w:rsidP="00A954C7">
      <w:pPr>
        <w:pStyle w:val="E-JournalHeading1"/>
        <w:spacing w:after="0"/>
        <w:ind w:firstLine="720"/>
        <w:jc w:val="both"/>
        <w:rPr>
          <w:b w:val="0"/>
          <w:bCs/>
          <w:color w:val="000000" w:themeColor="text1"/>
        </w:rPr>
      </w:pPr>
      <w:proofErr w:type="spellStart"/>
      <w:r w:rsidRPr="00A954C7">
        <w:rPr>
          <w:b w:val="0"/>
          <w:bCs/>
          <w:color w:val="000000" w:themeColor="text1"/>
        </w:rPr>
        <w:t>MathGPT</w:t>
      </w:r>
      <w:proofErr w:type="spellEnd"/>
      <w:r w:rsidRPr="00A954C7">
        <w:rPr>
          <w:b w:val="0"/>
          <w:bCs/>
          <w:color w:val="000000" w:themeColor="text1"/>
        </w:rPr>
        <w:t xml:space="preserve"> and Flexi 2.0 effectively connect classroom learning with real-world applications by enabling the synthesis of theoretical concepts and practical implementations. Flexi 2.0 enables students to integrate theoretical knowledge with practical application by utilizing mathematical principles acquired through </w:t>
      </w:r>
      <w:proofErr w:type="spellStart"/>
      <w:r w:rsidRPr="00A954C7">
        <w:rPr>
          <w:b w:val="0"/>
          <w:bCs/>
          <w:color w:val="000000" w:themeColor="text1"/>
        </w:rPr>
        <w:t>MathGPT</w:t>
      </w:r>
      <w:proofErr w:type="spellEnd"/>
      <w:r w:rsidRPr="00A954C7">
        <w:rPr>
          <w:b w:val="0"/>
          <w:bCs/>
          <w:color w:val="000000" w:themeColor="text1"/>
        </w:rPr>
        <w:t xml:space="preserve"> to address issues faced in the design and production process.</w:t>
      </w:r>
    </w:p>
    <w:p w14:paraId="04B5D7EA" w14:textId="77777777" w:rsidR="00A954C7" w:rsidRPr="00A954C7" w:rsidRDefault="00A954C7" w:rsidP="00A954C7">
      <w:pPr>
        <w:pStyle w:val="E-JournalHeading1"/>
        <w:spacing w:after="0"/>
        <w:jc w:val="both"/>
        <w:rPr>
          <w:b w:val="0"/>
          <w:bCs/>
          <w:i/>
          <w:iCs/>
          <w:color w:val="000000" w:themeColor="text1"/>
        </w:rPr>
      </w:pPr>
      <w:r w:rsidRPr="00A954C7">
        <w:rPr>
          <w:b w:val="0"/>
          <w:bCs/>
          <w:i/>
          <w:iCs/>
          <w:color w:val="000000" w:themeColor="text1"/>
        </w:rPr>
        <w:t>Advancement of Engaged Learning</w:t>
      </w:r>
    </w:p>
    <w:p w14:paraId="4F28D36C" w14:textId="77777777" w:rsidR="00A954C7" w:rsidRPr="00A954C7" w:rsidRDefault="00A954C7" w:rsidP="00A954C7">
      <w:pPr>
        <w:pStyle w:val="E-JournalHeading1"/>
        <w:spacing w:after="0"/>
        <w:ind w:firstLine="720"/>
        <w:jc w:val="both"/>
        <w:rPr>
          <w:b w:val="0"/>
          <w:bCs/>
          <w:color w:val="000000" w:themeColor="text1"/>
        </w:rPr>
      </w:pPr>
      <w:proofErr w:type="spellStart"/>
      <w:r w:rsidRPr="00A954C7">
        <w:rPr>
          <w:b w:val="0"/>
          <w:bCs/>
          <w:color w:val="000000" w:themeColor="text1"/>
        </w:rPr>
        <w:t>MathGPT</w:t>
      </w:r>
      <w:proofErr w:type="spellEnd"/>
      <w:r w:rsidRPr="00A954C7">
        <w:rPr>
          <w:b w:val="0"/>
          <w:bCs/>
          <w:color w:val="000000" w:themeColor="text1"/>
        </w:rPr>
        <w:t xml:space="preserve"> and Flexi 2.0 promote active learning by engaging students in interactive, inquiry-driven activities that encourage experimentation, investigation, and comprehension. Students engage in their education by doing independent inquiries and seeking solutions to real-world problems, so enhancing comprehension and knowledge retention.</w:t>
      </w:r>
    </w:p>
    <w:p w14:paraId="7ADF0703" w14:textId="77777777" w:rsidR="00A954C7" w:rsidRPr="00A954C7" w:rsidRDefault="00A954C7" w:rsidP="00A954C7">
      <w:pPr>
        <w:pStyle w:val="E-JournalHeading1"/>
        <w:spacing w:after="0"/>
        <w:jc w:val="both"/>
        <w:rPr>
          <w:b w:val="0"/>
          <w:bCs/>
          <w:i/>
          <w:iCs/>
          <w:color w:val="000000" w:themeColor="text1"/>
        </w:rPr>
      </w:pPr>
      <w:r w:rsidRPr="00A954C7">
        <w:rPr>
          <w:b w:val="0"/>
          <w:bCs/>
          <w:i/>
          <w:iCs/>
          <w:color w:val="000000" w:themeColor="text1"/>
        </w:rPr>
        <w:t>Improvement of Problem-solving Abilities</w:t>
      </w:r>
    </w:p>
    <w:p w14:paraId="591D0615" w14:textId="77777777" w:rsidR="00A954C7" w:rsidRPr="00A954C7" w:rsidRDefault="00A954C7" w:rsidP="00A954C7">
      <w:pPr>
        <w:pStyle w:val="E-JournalHeading1"/>
        <w:spacing w:after="0"/>
        <w:ind w:firstLine="720"/>
        <w:jc w:val="both"/>
        <w:rPr>
          <w:b w:val="0"/>
          <w:bCs/>
          <w:color w:val="000000" w:themeColor="text1"/>
        </w:rPr>
      </w:pPr>
      <w:r w:rsidRPr="00A954C7">
        <w:rPr>
          <w:b w:val="0"/>
          <w:bCs/>
          <w:color w:val="000000" w:themeColor="text1"/>
        </w:rPr>
        <w:t xml:space="preserve">Students acquire analytical reasoning, critical thinking, and problem-solving skills essential for success in academia and beyond by utilizing Flexi 2.0 to tackle real-world manufacturing challenges and </w:t>
      </w:r>
      <w:proofErr w:type="spellStart"/>
      <w:r w:rsidRPr="00A954C7">
        <w:rPr>
          <w:b w:val="0"/>
          <w:bCs/>
          <w:color w:val="000000" w:themeColor="text1"/>
        </w:rPr>
        <w:t>MathGPT</w:t>
      </w:r>
      <w:proofErr w:type="spellEnd"/>
      <w:r w:rsidRPr="00A954C7">
        <w:rPr>
          <w:b w:val="0"/>
          <w:bCs/>
          <w:color w:val="000000" w:themeColor="text1"/>
        </w:rPr>
        <w:t xml:space="preserve"> to resolve mathematical inquiries. By engaging in rigorous problem-solving, hypothesis testing, solution evaluation, and feedback-driven iteration, they cultivate a growth mindset and resilience in adversity (Sarnoko, S., </w:t>
      </w:r>
      <w:proofErr w:type="spellStart"/>
      <w:r w:rsidRPr="00A954C7">
        <w:rPr>
          <w:b w:val="0"/>
          <w:bCs/>
          <w:color w:val="000000" w:themeColor="text1"/>
        </w:rPr>
        <w:t>Asrowi</w:t>
      </w:r>
      <w:proofErr w:type="spellEnd"/>
      <w:r w:rsidRPr="00A954C7">
        <w:rPr>
          <w:b w:val="0"/>
          <w:bCs/>
          <w:color w:val="000000" w:themeColor="text1"/>
        </w:rPr>
        <w:t xml:space="preserve">, A., </w:t>
      </w:r>
      <w:proofErr w:type="spellStart"/>
      <w:r w:rsidRPr="00A954C7">
        <w:rPr>
          <w:b w:val="0"/>
          <w:bCs/>
          <w:color w:val="000000" w:themeColor="text1"/>
        </w:rPr>
        <w:t>Gunarhadi</w:t>
      </w:r>
      <w:proofErr w:type="spellEnd"/>
      <w:r w:rsidRPr="00A954C7">
        <w:rPr>
          <w:b w:val="0"/>
          <w:bCs/>
          <w:color w:val="000000" w:themeColor="text1"/>
        </w:rPr>
        <w:t xml:space="preserve">, G., &amp; </w:t>
      </w:r>
      <w:proofErr w:type="spellStart"/>
      <w:r w:rsidRPr="00A954C7">
        <w:rPr>
          <w:b w:val="0"/>
          <w:bCs/>
          <w:color w:val="000000" w:themeColor="text1"/>
        </w:rPr>
        <w:t>Usodo</w:t>
      </w:r>
      <w:proofErr w:type="spellEnd"/>
      <w:r w:rsidRPr="00A954C7">
        <w:rPr>
          <w:b w:val="0"/>
          <w:bCs/>
          <w:color w:val="000000" w:themeColor="text1"/>
        </w:rPr>
        <w:t xml:space="preserve">, B., 2024). </w:t>
      </w:r>
    </w:p>
    <w:p w14:paraId="32E87943" w14:textId="77777777" w:rsidR="00A954C7" w:rsidRPr="00A954C7" w:rsidRDefault="00A954C7" w:rsidP="00A954C7">
      <w:pPr>
        <w:pStyle w:val="E-JournalHeading1"/>
        <w:spacing w:after="0"/>
        <w:jc w:val="both"/>
        <w:rPr>
          <w:b w:val="0"/>
          <w:bCs/>
          <w:i/>
          <w:iCs/>
          <w:color w:val="000000" w:themeColor="text1"/>
        </w:rPr>
      </w:pPr>
      <w:r w:rsidRPr="00A954C7">
        <w:rPr>
          <w:b w:val="0"/>
          <w:bCs/>
          <w:i/>
          <w:iCs/>
          <w:color w:val="000000" w:themeColor="text1"/>
        </w:rPr>
        <w:t>Preparation for Prospective Careers</w:t>
      </w:r>
    </w:p>
    <w:p w14:paraId="1FF178B9" w14:textId="77777777" w:rsidR="00C75820" w:rsidRDefault="00A954C7" w:rsidP="00C75820">
      <w:pPr>
        <w:pStyle w:val="E-JournalHeading1"/>
        <w:spacing w:after="0"/>
        <w:ind w:firstLine="720"/>
        <w:jc w:val="both"/>
        <w:rPr>
          <w:color w:val="70AD47" w:themeColor="accent6"/>
        </w:rPr>
      </w:pPr>
      <w:r w:rsidRPr="00A954C7">
        <w:rPr>
          <w:b w:val="0"/>
          <w:bCs/>
          <w:color w:val="000000" w:themeColor="text1"/>
        </w:rPr>
        <w:t xml:space="preserve">The skills and competencies developed via the use of </w:t>
      </w:r>
      <w:proofErr w:type="spellStart"/>
      <w:r w:rsidRPr="00A954C7">
        <w:rPr>
          <w:b w:val="0"/>
          <w:bCs/>
          <w:color w:val="000000" w:themeColor="text1"/>
        </w:rPr>
        <w:t>MathGPT</w:t>
      </w:r>
      <w:proofErr w:type="spellEnd"/>
      <w:r w:rsidRPr="00A954C7">
        <w:rPr>
          <w:b w:val="0"/>
          <w:bCs/>
          <w:color w:val="000000" w:themeColor="text1"/>
        </w:rPr>
        <w:t xml:space="preserve"> and Flexi 2.0 align with the demands of the twenty-first-century workforce, where digital literacy, computational thinking, and proficiency in STEM disciplines are highly valued. </w:t>
      </w:r>
      <w:proofErr w:type="spellStart"/>
      <w:r w:rsidRPr="00A954C7">
        <w:rPr>
          <w:b w:val="0"/>
          <w:bCs/>
          <w:color w:val="000000" w:themeColor="text1"/>
        </w:rPr>
        <w:t>MathGPT</w:t>
      </w:r>
      <w:proofErr w:type="spellEnd"/>
      <w:r w:rsidRPr="00A954C7">
        <w:rPr>
          <w:b w:val="0"/>
          <w:bCs/>
          <w:color w:val="000000" w:themeColor="text1"/>
        </w:rPr>
        <w:t xml:space="preserve"> and Flexi 2.0 enhance economic growth and global competitiveness by offering STEM-related career preparation.</w:t>
      </w:r>
      <w:r w:rsidR="00C75820">
        <w:rPr>
          <w:color w:val="70AD47" w:themeColor="accent6"/>
        </w:rPr>
        <w:t xml:space="preserve"> </w:t>
      </w:r>
      <w:r w:rsidR="005C2782" w:rsidRPr="005C2782">
        <w:rPr>
          <w:b w:val="0"/>
          <w:bCs/>
          <w:color w:val="000000" w:themeColor="text1"/>
        </w:rPr>
        <w:t xml:space="preserve">The implications of this research align with recent studies promoting the integration of AI and technology in education. AI-driven technologies amalgamate theory and practice, enhancing students' ability to apply theoretical concepts to practical scenarios, hence fostering deeper understanding and critical analysis. The use of inquiry-driven learning technologies like </w:t>
      </w:r>
      <w:proofErr w:type="spellStart"/>
      <w:r w:rsidR="005C2782" w:rsidRPr="005C2782">
        <w:rPr>
          <w:b w:val="0"/>
          <w:bCs/>
          <w:color w:val="000000" w:themeColor="text1"/>
        </w:rPr>
        <w:t>MathGPT</w:t>
      </w:r>
      <w:proofErr w:type="spellEnd"/>
      <w:r w:rsidR="005C2782" w:rsidRPr="005C2782">
        <w:rPr>
          <w:b w:val="0"/>
          <w:bCs/>
          <w:color w:val="000000" w:themeColor="text1"/>
        </w:rPr>
        <w:t xml:space="preserve"> and Flexi 2.0 promotes active participation and improves knowledge retention (Kirschner et al., 2018).</w:t>
      </w:r>
    </w:p>
    <w:p w14:paraId="51452155" w14:textId="5BB437BE" w:rsidR="005C2782" w:rsidRPr="00C75820" w:rsidRDefault="005C2782" w:rsidP="00C75820">
      <w:pPr>
        <w:pStyle w:val="E-JournalHeading1"/>
        <w:spacing w:after="0"/>
        <w:ind w:firstLine="720"/>
        <w:jc w:val="both"/>
        <w:rPr>
          <w:color w:val="70AD47" w:themeColor="accent6"/>
        </w:rPr>
      </w:pPr>
      <w:r>
        <w:rPr>
          <w:b w:val="0"/>
          <w:bCs/>
          <w:color w:val="000000" w:themeColor="text1"/>
        </w:rPr>
        <w:t>Re</w:t>
      </w:r>
      <w:r w:rsidRPr="005C2782">
        <w:rPr>
          <w:b w:val="0"/>
          <w:bCs/>
          <w:color w:val="000000" w:themeColor="text1"/>
        </w:rPr>
        <w:t>search further substantiates the improvement of problem-solving abilities using AI. AI-augmented educational environments improve students' analytical reasoning, critical thinking, and adaptability to real-world challenges (Grover &amp; Pea, 2018). Moreover, iterative feedback and hypothesis testing foster a growth mindset and resilience, which are essential for academic success.</w:t>
      </w:r>
      <w:r w:rsidR="00C75820">
        <w:rPr>
          <w:color w:val="70AD47" w:themeColor="accent6"/>
        </w:rPr>
        <w:t xml:space="preserve"> </w:t>
      </w:r>
      <w:r w:rsidRPr="005C2782">
        <w:rPr>
          <w:b w:val="0"/>
          <w:bCs/>
          <w:color w:val="000000" w:themeColor="text1"/>
        </w:rPr>
        <w:t>The skills gained by AI tools—digital literacy, computational thinking, and STEM proficiency—are crucial for job preparedness in the 21st-century labor market (</w:t>
      </w:r>
      <w:r w:rsidR="00603965">
        <w:rPr>
          <w:b w:val="0"/>
          <w:bCs/>
          <w:color w:val="000000" w:themeColor="text1"/>
        </w:rPr>
        <w:t>Li, Y., et.al, 2020</w:t>
      </w:r>
      <w:r w:rsidR="006727A2">
        <w:rPr>
          <w:b w:val="0"/>
          <w:bCs/>
          <w:color w:val="000000" w:themeColor="text1"/>
        </w:rPr>
        <w:t xml:space="preserve">; Putri &amp; </w:t>
      </w:r>
      <w:proofErr w:type="spellStart"/>
      <w:r w:rsidR="006727A2">
        <w:rPr>
          <w:b w:val="0"/>
          <w:bCs/>
          <w:color w:val="000000" w:themeColor="text1"/>
        </w:rPr>
        <w:t>Turaqulov</w:t>
      </w:r>
      <w:proofErr w:type="spellEnd"/>
      <w:r w:rsidR="006727A2">
        <w:rPr>
          <w:b w:val="0"/>
          <w:bCs/>
          <w:color w:val="000000" w:themeColor="text1"/>
        </w:rPr>
        <w:t>, 2022; Manlapig, 2024</w:t>
      </w:r>
      <w:r w:rsidRPr="005C2782">
        <w:rPr>
          <w:b w:val="0"/>
          <w:bCs/>
          <w:color w:val="000000" w:themeColor="text1"/>
        </w:rPr>
        <w:t xml:space="preserve">). Tools like </w:t>
      </w:r>
      <w:proofErr w:type="spellStart"/>
      <w:r w:rsidRPr="005C2782">
        <w:rPr>
          <w:b w:val="0"/>
          <w:bCs/>
          <w:color w:val="000000" w:themeColor="text1"/>
        </w:rPr>
        <w:t>MathGPT</w:t>
      </w:r>
      <w:proofErr w:type="spellEnd"/>
      <w:r w:rsidRPr="005C2782">
        <w:rPr>
          <w:b w:val="0"/>
          <w:bCs/>
          <w:color w:val="000000" w:themeColor="text1"/>
        </w:rPr>
        <w:t xml:space="preserve"> and Flexi 2.0 prepare students for STEM careers, which are increasingly in demand in the global economy (</w:t>
      </w:r>
      <w:proofErr w:type="spellStart"/>
      <w:r w:rsidR="00901EFC" w:rsidRPr="00901EFC">
        <w:rPr>
          <w:b w:val="0"/>
          <w:bCs/>
          <w:color w:val="000000" w:themeColor="text1"/>
        </w:rPr>
        <w:t>Dúo-Terrón</w:t>
      </w:r>
      <w:proofErr w:type="spellEnd"/>
      <w:r w:rsidR="00901EFC">
        <w:rPr>
          <w:b w:val="0"/>
          <w:bCs/>
          <w:color w:val="000000" w:themeColor="text1"/>
        </w:rPr>
        <w:t>, 2024</w:t>
      </w:r>
      <w:r w:rsidRPr="005C2782">
        <w:rPr>
          <w:b w:val="0"/>
          <w:bCs/>
          <w:color w:val="000000" w:themeColor="text1"/>
        </w:rPr>
        <w:t>).</w:t>
      </w:r>
      <w:r w:rsidR="00CA10EE">
        <w:rPr>
          <w:b w:val="0"/>
          <w:bCs/>
          <w:color w:val="000000" w:themeColor="text1"/>
        </w:rPr>
        <w:t xml:space="preserve"> </w:t>
      </w:r>
      <w:r w:rsidRPr="005C2782">
        <w:rPr>
          <w:b w:val="0"/>
          <w:bCs/>
          <w:color w:val="000000" w:themeColor="text1"/>
        </w:rPr>
        <w:t>However, access to technology remains a limitation, as disparities in digital resources affect the effectiveness of these educational tools. Future endeavors must focus on addressing these inequalities to ensure equitable educational outcomes for all student groups.</w:t>
      </w:r>
    </w:p>
    <w:p w14:paraId="352BF2C4" w14:textId="3DBD2EDE" w:rsidR="00BC4D19" w:rsidRPr="00F860A5" w:rsidRDefault="00BC4D19" w:rsidP="006E7685">
      <w:pPr>
        <w:pStyle w:val="E-JournalHeading1"/>
        <w:spacing w:after="0"/>
        <w:rPr>
          <w:color w:val="70AD47" w:themeColor="accent6"/>
        </w:rPr>
      </w:pPr>
      <w:r w:rsidRPr="00F860A5">
        <w:rPr>
          <w:color w:val="70AD47" w:themeColor="accent6"/>
        </w:rPr>
        <w:t>CONCLUSION</w:t>
      </w:r>
    </w:p>
    <w:p w14:paraId="21370EEB" w14:textId="6335F446" w:rsidR="00AC1015" w:rsidRDefault="00AC1015" w:rsidP="006219F4">
      <w:pPr>
        <w:pStyle w:val="E-JournalBody"/>
        <w:spacing w:before="240"/>
      </w:pPr>
      <w:r>
        <w:t>This study's results highlight the transformative potential of AI-driven educational technologies like Flexi 2.0 and MathGPT in transforming conventional teaching approaches. Both systems exhibited substantial enhancements in students' arithmetic skills, underscoring their ability to address individual learning requirements, deliver tailored feedback, and promote a comprehensive grasp of intricate mathematical topics. Flexi 2.0 demonstrated marginally greater efficacy, indicating its suitability for the rising need of individualized instruction in modern education.</w:t>
      </w:r>
      <w:r w:rsidR="006219F4">
        <w:t xml:space="preserve"> </w:t>
      </w:r>
      <w:r>
        <w:t>The outcomes of this study facilitate the wider incorporation of AI-driven educational resources in diverse learning contexts, encompassing both conventional classrooms and virtual learning platforms. The effectiveness of these tools in enhancing student results underscores their capacity to render learning more interesting, productive, and customized to individual requirements. By utilizing these tools, educational institutions can enhance student preparedness for the requirements of a digital environment and elevate overall educational outcomes.</w:t>
      </w:r>
      <w:r w:rsidR="006219F4">
        <w:t xml:space="preserve"> </w:t>
      </w:r>
      <w:r>
        <w:t>This study underscores the significance of individualized learning enabled by AI, identifying tools such as Flexi 2.0 and MathGPT as crucial in improving instructional techniques. This could lead to the development of a new paradigm for AI-integrated education, wherein technologies are not merely supplemental but fundamental to tailored learning environments. Future research should investigate the long-term effects of AI integration on education and evaluate the potential for combining diverse AI technologies to address multiple academic subjects. Furthermore, educational institutions must guarantee that both students and educators are proficiently prepared to optimize the advantages of these tools, rendering AI an essential element of contemporary pedagogy.</w:t>
      </w:r>
    </w:p>
    <w:p w14:paraId="7CF20F92" w14:textId="7D50D638" w:rsidR="00BC4D19" w:rsidRPr="00AC1015" w:rsidRDefault="00BC4D19" w:rsidP="00AC1015">
      <w:pPr>
        <w:pStyle w:val="E-JournalBody"/>
        <w:spacing w:before="240"/>
        <w:ind w:firstLine="0"/>
        <w:rPr>
          <w:rStyle w:val="Strong"/>
          <w:b w:val="0"/>
          <w:bCs w:val="0"/>
        </w:rPr>
      </w:pPr>
      <w:r w:rsidRPr="00F860A5">
        <w:rPr>
          <w:rStyle w:val="Strong"/>
          <w:color w:val="70AD47" w:themeColor="accent6"/>
        </w:rPr>
        <w:t>ACKNOWLEDGMENTS</w:t>
      </w:r>
      <w:r w:rsidRPr="00F860A5">
        <w:rPr>
          <w:rStyle w:val="Strong"/>
          <w:color w:val="70AD47" w:themeColor="accent6"/>
          <w:lang w:val="en-US"/>
        </w:rPr>
        <w:t xml:space="preserve"> </w:t>
      </w:r>
    </w:p>
    <w:p w14:paraId="4E83BC33" w14:textId="77777777" w:rsidR="00A954C7" w:rsidRPr="00A954C7" w:rsidRDefault="00A954C7" w:rsidP="00A954C7">
      <w:pPr>
        <w:pStyle w:val="E-JournalBody"/>
        <w:spacing w:before="240"/>
        <w:rPr>
          <w:lang w:val="en-PH"/>
        </w:rPr>
      </w:pPr>
      <w:r w:rsidRPr="00A954C7">
        <w:rPr>
          <w:lang w:val="en-PH"/>
        </w:rPr>
        <w:t>I express my sincere appreciation to everybody who contributed significantly to the completion of this study. I extend my profound gratitude to the University Administrators for permitting the execution of this research, as this undertaking would not have been feasible without their approval. I extend my heartfelt gratitude to the respondents who graciously dedicated their time and assistance throughout my fieldwork. I am particularly appreciative of my colleagues and students whose invaluable insights and support have enhanced the study process. Their contributions, regardless of magnitude, have been crucial in determining the results of this study. Finally, I express my sincere gratitude to all who have assisted me in any capacity, facilitating the smooth conclusion of this undertaking. Your contributions have been indispensable, and I am sincerely appreciative of your steadfast support and encouragement.</w:t>
      </w:r>
    </w:p>
    <w:p w14:paraId="157AB686" w14:textId="63AEF348" w:rsidR="00391CC9" w:rsidRPr="00F860A5" w:rsidRDefault="00391CC9" w:rsidP="00391CC9">
      <w:pPr>
        <w:pStyle w:val="E-JournalBody"/>
        <w:spacing w:before="240"/>
        <w:ind w:firstLine="0"/>
        <w:rPr>
          <w:rStyle w:val="Strong"/>
          <w:color w:val="70AD47" w:themeColor="accent6"/>
          <w:lang w:val="en-US"/>
        </w:rPr>
      </w:pPr>
      <w:r>
        <w:rPr>
          <w:rStyle w:val="Strong"/>
          <w:color w:val="70AD47" w:themeColor="accent6"/>
        </w:rPr>
        <w:t>CONFLICTS OF INTEREST</w:t>
      </w:r>
    </w:p>
    <w:p w14:paraId="10D1CCEE" w14:textId="7376A55A" w:rsidR="00F22D3D" w:rsidRPr="00F22D3D" w:rsidRDefault="00F22D3D" w:rsidP="00F22D3D">
      <w:pPr>
        <w:pStyle w:val="E-JournalBody"/>
        <w:rPr>
          <w:lang w:val="en-PH"/>
        </w:rPr>
      </w:pPr>
      <w:r w:rsidRPr="00F22D3D">
        <w:rPr>
          <w:lang w:val="en-PH"/>
        </w:rPr>
        <w:t xml:space="preserve">The </w:t>
      </w:r>
      <w:r w:rsidR="00AF5542">
        <w:rPr>
          <w:lang w:val="en-PH"/>
        </w:rPr>
        <w:t xml:space="preserve">author </w:t>
      </w:r>
      <w:proofErr w:type="gramStart"/>
      <w:r w:rsidRPr="00F22D3D">
        <w:rPr>
          <w:lang w:val="en-PH"/>
        </w:rPr>
        <w:t>assert</w:t>
      </w:r>
      <w:proofErr w:type="gramEnd"/>
      <w:r w:rsidRPr="00F22D3D">
        <w:rPr>
          <w:lang w:val="en-PH"/>
        </w:rPr>
        <w:t xml:space="preserve"> the absence of financial or personal affiliations that would unduly affect their work. All conclusions and analyses articulated in this work are exclusively derived from the data gathered and examined throughout the study process.</w:t>
      </w:r>
    </w:p>
    <w:p w14:paraId="2F8BC600" w14:textId="77777777" w:rsidR="00952C60" w:rsidRDefault="00952C60" w:rsidP="00952C60">
      <w:pPr>
        <w:pStyle w:val="E-JournalBody"/>
        <w:ind w:firstLine="0"/>
        <w:rPr>
          <w:lang w:val="en-US"/>
        </w:rPr>
      </w:pPr>
    </w:p>
    <w:p w14:paraId="151A4A61" w14:textId="4C6BA952" w:rsidR="00952C60" w:rsidRDefault="00952C60" w:rsidP="00952C60">
      <w:pPr>
        <w:pStyle w:val="E-JournalBody"/>
        <w:ind w:firstLine="0"/>
        <w:rPr>
          <w:lang w:val="en-US"/>
        </w:rPr>
      </w:pPr>
      <w:r>
        <w:rPr>
          <w:lang w:val="en-US"/>
        </w:rPr>
        <w:t>Author Contribution</w:t>
      </w:r>
    </w:p>
    <w:p w14:paraId="17FFA04B" w14:textId="4A7F0D4C" w:rsidR="00AC1015" w:rsidRPr="00AC1015" w:rsidRDefault="00AC1015" w:rsidP="00AC1015">
      <w:pPr>
        <w:pStyle w:val="E-JournalBody"/>
        <w:rPr>
          <w:lang w:val="en-PH"/>
        </w:rPr>
      </w:pPr>
      <w:r w:rsidRPr="00AC1015">
        <w:rPr>
          <w:lang w:val="en-PH"/>
        </w:rPr>
        <w:t xml:space="preserve">Joel I. Alvarez, the author, made substantial contributions to every facet of the research. He was accountable for the conceptualization and design of the study, encompassing the formulation of research questions and objectives. He directed the formulation of the experimental framework and the selection of AI-driven tools, specifically Flexi 2.0 and </w:t>
      </w:r>
      <w:proofErr w:type="spellStart"/>
      <w:r w:rsidRPr="00AC1015">
        <w:rPr>
          <w:lang w:val="en-PH"/>
        </w:rPr>
        <w:t>MathGPT</w:t>
      </w:r>
      <w:proofErr w:type="spellEnd"/>
      <w:r w:rsidRPr="00AC1015">
        <w:rPr>
          <w:lang w:val="en-PH"/>
        </w:rPr>
        <w:t>. Mr. Alvarez supervised the data collection process, which included delivering pre-tests and post-tests, and performed statistical analysis to assess the efficacy of the AI technologies.</w:t>
      </w:r>
    </w:p>
    <w:p w14:paraId="16F86A90" w14:textId="77777777" w:rsidR="00B34CD8" w:rsidRDefault="00B34CD8" w:rsidP="00BC4D19">
      <w:pPr>
        <w:pStyle w:val="E-JournalBody"/>
        <w:ind w:firstLine="0"/>
        <w:rPr>
          <w:lang w:val="en-US"/>
        </w:rPr>
      </w:pPr>
    </w:p>
    <w:p w14:paraId="22CD3158" w14:textId="73F8483E" w:rsidR="00BC4D19" w:rsidRPr="00F860A5" w:rsidRDefault="00BC4D19" w:rsidP="00BC4D19">
      <w:pPr>
        <w:pStyle w:val="E-JournalBody"/>
        <w:ind w:firstLine="0"/>
        <w:rPr>
          <w:b/>
          <w:bCs/>
          <w:color w:val="70AD47" w:themeColor="accent6"/>
          <w:lang w:val="en-US"/>
        </w:rPr>
      </w:pPr>
      <w:r w:rsidRPr="00F860A5">
        <w:rPr>
          <w:b/>
          <w:bCs/>
          <w:color w:val="70AD47" w:themeColor="accent6"/>
          <w:lang w:val="en-US"/>
        </w:rPr>
        <w:t>REFERENCES</w:t>
      </w:r>
    </w:p>
    <w:p w14:paraId="0395F13B" w14:textId="47E8B391" w:rsidR="001E07BF" w:rsidRDefault="001E07BF" w:rsidP="001E07BF">
      <w:pPr>
        <w:pStyle w:val="E-JournalDaftarPustaka"/>
        <w:spacing w:before="120" w:after="120"/>
        <w:rPr>
          <w:bCs/>
        </w:rPr>
      </w:pPr>
      <w:r w:rsidRPr="001E07BF">
        <w:rPr>
          <w:bCs/>
          <w:lang w:val="en-US"/>
        </w:rPr>
        <w:t xml:space="preserve">AL-Momani, M. O., AL-Momani, M. A. K., </w:t>
      </w:r>
      <w:proofErr w:type="spellStart"/>
      <w:r w:rsidRPr="001E07BF">
        <w:rPr>
          <w:bCs/>
          <w:lang w:val="en-US"/>
        </w:rPr>
        <w:t>Hamadat</w:t>
      </w:r>
      <w:proofErr w:type="spellEnd"/>
      <w:r w:rsidRPr="001E07BF">
        <w:rPr>
          <w:bCs/>
          <w:lang w:val="en-US"/>
        </w:rPr>
        <w:t xml:space="preserve">, M. H., &amp; Murtada, M. A. (2024). </w:t>
      </w:r>
      <w:r w:rsidR="00CA10EE" w:rsidRPr="001E07BF">
        <w:rPr>
          <w:bCs/>
          <w:lang w:val="en-US"/>
        </w:rPr>
        <w:t>Distance e-learning and its impact on university education outcomes from the students’ point of view. </w:t>
      </w:r>
      <w:proofErr w:type="spellStart"/>
      <w:r w:rsidRPr="001E07BF">
        <w:rPr>
          <w:bCs/>
          <w:i/>
          <w:iCs/>
          <w:lang w:val="en-US"/>
        </w:rPr>
        <w:t>Jurnal</w:t>
      </w:r>
      <w:proofErr w:type="spellEnd"/>
      <w:r w:rsidRPr="001E07BF">
        <w:rPr>
          <w:bCs/>
          <w:i/>
          <w:iCs/>
          <w:lang w:val="en-US"/>
        </w:rPr>
        <w:t xml:space="preserve"> </w:t>
      </w:r>
      <w:proofErr w:type="spellStart"/>
      <w:r w:rsidRPr="001E07BF">
        <w:rPr>
          <w:bCs/>
          <w:i/>
          <w:iCs/>
          <w:lang w:val="en-US"/>
        </w:rPr>
        <w:t>Ilmiah</w:t>
      </w:r>
      <w:proofErr w:type="spellEnd"/>
      <w:r w:rsidRPr="001E07BF">
        <w:rPr>
          <w:bCs/>
          <w:i/>
          <w:iCs/>
          <w:lang w:val="en-US"/>
        </w:rPr>
        <w:t xml:space="preserve"> </w:t>
      </w:r>
      <w:proofErr w:type="spellStart"/>
      <w:r w:rsidRPr="001E07BF">
        <w:rPr>
          <w:bCs/>
          <w:i/>
          <w:iCs/>
          <w:lang w:val="en-US"/>
        </w:rPr>
        <w:t>Ilmu</w:t>
      </w:r>
      <w:proofErr w:type="spellEnd"/>
      <w:r w:rsidRPr="001E07BF">
        <w:rPr>
          <w:bCs/>
          <w:i/>
          <w:iCs/>
          <w:lang w:val="en-US"/>
        </w:rPr>
        <w:t xml:space="preserve"> </w:t>
      </w:r>
      <w:proofErr w:type="spellStart"/>
      <w:r w:rsidRPr="001E07BF">
        <w:rPr>
          <w:bCs/>
          <w:i/>
          <w:iCs/>
          <w:lang w:val="en-US"/>
        </w:rPr>
        <w:t>Terapan</w:t>
      </w:r>
      <w:proofErr w:type="spellEnd"/>
      <w:r w:rsidRPr="001E07BF">
        <w:rPr>
          <w:bCs/>
          <w:i/>
          <w:iCs/>
          <w:lang w:val="en-US"/>
        </w:rPr>
        <w:t xml:space="preserve"> Universitas Jambi</w:t>
      </w:r>
      <w:r w:rsidRPr="001E07BF">
        <w:rPr>
          <w:bCs/>
          <w:lang w:val="en-US"/>
        </w:rPr>
        <w:t>, </w:t>
      </w:r>
      <w:r w:rsidRPr="001E07BF">
        <w:rPr>
          <w:bCs/>
          <w:i/>
          <w:iCs/>
          <w:lang w:val="en-US"/>
        </w:rPr>
        <w:t>8</w:t>
      </w:r>
      <w:r w:rsidRPr="001E07BF">
        <w:rPr>
          <w:bCs/>
          <w:lang w:val="en-US"/>
        </w:rPr>
        <w:t xml:space="preserve">(1), 48-60. </w:t>
      </w:r>
      <w:hyperlink r:id="rId12" w:history="1">
        <w:r w:rsidRPr="000674CB">
          <w:rPr>
            <w:rStyle w:val="Hyperlink"/>
            <w:bCs/>
            <w:lang w:val="en-US"/>
          </w:rPr>
          <w:t>https://doi.org/10.22437/jiituj.v8i1.32116</w:t>
        </w:r>
      </w:hyperlink>
    </w:p>
    <w:p w14:paraId="1AA13468" w14:textId="51A35F90" w:rsidR="00A4630F" w:rsidRDefault="00A4630F" w:rsidP="001E07BF">
      <w:pPr>
        <w:pStyle w:val="E-JournalDaftarPustaka"/>
        <w:spacing w:before="120" w:after="120"/>
        <w:rPr>
          <w:bCs/>
        </w:rPr>
      </w:pPr>
      <w:r w:rsidRPr="005C2782">
        <w:rPr>
          <w:bCs/>
        </w:rPr>
        <w:t xml:space="preserve">Alvarez, J. I. (2023). Massive open online course in elementary statistics: A tool in empowering data analysis for Philippine pre-service educators. </w:t>
      </w:r>
      <w:r w:rsidRPr="00CA10EE">
        <w:rPr>
          <w:bCs/>
          <w:i/>
          <w:iCs/>
        </w:rPr>
        <w:t>Asian Journal of Applied Education (AJAE), 2</w:t>
      </w:r>
      <w:r w:rsidRPr="005C2782">
        <w:rPr>
          <w:bCs/>
        </w:rPr>
        <w:t xml:space="preserve">(3), 515–528. </w:t>
      </w:r>
      <w:r>
        <w:rPr>
          <w:bCs/>
        </w:rPr>
        <w:fldChar w:fldCharType="begin"/>
      </w:r>
      <w:r>
        <w:rPr>
          <w:bCs/>
        </w:rPr>
        <w:instrText>HYPERLINK "</w:instrText>
      </w:r>
      <w:r w:rsidRPr="005C2782">
        <w:rPr>
          <w:bCs/>
        </w:rPr>
        <w:instrText>https://doi.org/10.55927/ajae.v2i3.4260</w:instrText>
      </w:r>
      <w:r>
        <w:rPr>
          <w:bCs/>
        </w:rPr>
        <w:instrText>"</w:instrText>
      </w:r>
      <w:r>
        <w:rPr>
          <w:bCs/>
        </w:rPr>
      </w:r>
      <w:r>
        <w:rPr>
          <w:bCs/>
        </w:rPr>
        <w:fldChar w:fldCharType="separate"/>
      </w:r>
      <w:r w:rsidRPr="000674CB">
        <w:rPr>
          <w:rStyle w:val="Hyperlink"/>
          <w:bCs/>
        </w:rPr>
        <w:t>https://doi.org/10.55927/ajae.v2i3.4260</w:t>
      </w:r>
      <w:r>
        <w:rPr>
          <w:bCs/>
        </w:rPr>
        <w:fldChar w:fldCharType="end"/>
      </w:r>
    </w:p>
    <w:p w14:paraId="35644490" w14:textId="77777777" w:rsidR="00A4630F" w:rsidRDefault="00A4630F" w:rsidP="00A4630F">
      <w:pPr>
        <w:pStyle w:val="E-JournalDaftarPustaka"/>
        <w:spacing w:before="120" w:after="120"/>
        <w:rPr>
          <w:bCs/>
        </w:rPr>
      </w:pPr>
      <w:r w:rsidRPr="005C2782">
        <w:rPr>
          <w:bCs/>
        </w:rPr>
        <w:t xml:space="preserve">Alvarez, J. I. (2023). Relationship between mathematics beliefs and student engagement in mathematics as mediated by creative self-efficacy. </w:t>
      </w:r>
      <w:r w:rsidRPr="00CA10EE">
        <w:rPr>
          <w:bCs/>
          <w:i/>
          <w:iCs/>
        </w:rPr>
        <w:t>EPRA International Journal of Multidisciplinary Research (IJMR), 9</w:t>
      </w:r>
      <w:r w:rsidRPr="005C2782">
        <w:rPr>
          <w:bCs/>
        </w:rPr>
        <w:t xml:space="preserve">(3), 93-102. </w:t>
      </w:r>
      <w:r>
        <w:rPr>
          <w:bCs/>
        </w:rPr>
        <w:fldChar w:fldCharType="begin"/>
      </w:r>
      <w:r>
        <w:rPr>
          <w:bCs/>
        </w:rPr>
        <w:instrText>HYPERLINK "</w:instrText>
      </w:r>
      <w:r w:rsidRPr="005C2782">
        <w:rPr>
          <w:bCs/>
        </w:rPr>
        <w:instrText>https://doi.org/10.36713/epra12481</w:instrText>
      </w:r>
      <w:r>
        <w:rPr>
          <w:bCs/>
        </w:rPr>
        <w:instrText>"</w:instrText>
      </w:r>
      <w:r>
        <w:rPr>
          <w:bCs/>
        </w:rPr>
      </w:r>
      <w:r>
        <w:rPr>
          <w:bCs/>
        </w:rPr>
        <w:fldChar w:fldCharType="separate"/>
      </w:r>
      <w:r w:rsidRPr="000674CB">
        <w:rPr>
          <w:rStyle w:val="Hyperlink"/>
          <w:bCs/>
        </w:rPr>
        <w:t>https://doi.org/10.36713/epra12481</w:t>
      </w:r>
      <w:r>
        <w:rPr>
          <w:bCs/>
        </w:rPr>
        <w:fldChar w:fldCharType="end"/>
      </w:r>
    </w:p>
    <w:p w14:paraId="62A7066D" w14:textId="6727ECC3" w:rsidR="00A4630F" w:rsidRDefault="00A4630F" w:rsidP="00A4630F">
      <w:pPr>
        <w:pStyle w:val="E-JournalDaftarPustaka"/>
        <w:spacing w:before="120" w:after="120"/>
        <w:rPr>
          <w:bCs/>
        </w:rPr>
      </w:pPr>
      <w:r w:rsidRPr="005C2782">
        <w:rPr>
          <w:bCs/>
        </w:rPr>
        <w:t xml:space="preserve">Alvarez, J. I., &amp; Galman, A. S. M. A. (2023). Use of Filipino language as medium of instruction in teaching advanced algebra class. </w:t>
      </w:r>
      <w:r w:rsidRPr="00CA10EE">
        <w:rPr>
          <w:bCs/>
          <w:i/>
          <w:iCs/>
        </w:rPr>
        <w:t>European Journal of Science, Innovation and Technology, 3</w:t>
      </w:r>
      <w:r w:rsidRPr="005C2782">
        <w:rPr>
          <w:bCs/>
        </w:rPr>
        <w:t>(2), 157-171</w:t>
      </w:r>
      <w:r w:rsidR="00CA10EE">
        <w:rPr>
          <w:bCs/>
        </w:rPr>
        <w:t>.</w:t>
      </w:r>
    </w:p>
    <w:p w14:paraId="3CAE73B1" w14:textId="77777777" w:rsidR="00A4630F" w:rsidRDefault="00A4630F" w:rsidP="00A4630F">
      <w:pPr>
        <w:pStyle w:val="E-JournalDaftarPustaka"/>
        <w:spacing w:before="120" w:after="120"/>
        <w:rPr>
          <w:bCs/>
        </w:rPr>
      </w:pPr>
      <w:r w:rsidRPr="005C2782">
        <w:rPr>
          <w:bCs/>
        </w:rPr>
        <w:t xml:space="preserve">Alvarez, J. I., &amp; Galman, S. M. A. (2023). HyFlex learning: Continuing tertiary education in a post-pandemic environment. </w:t>
      </w:r>
      <w:r w:rsidRPr="00CA10EE">
        <w:rPr>
          <w:bCs/>
          <w:i/>
          <w:iCs/>
        </w:rPr>
        <w:t>In Proceedings of the 3rd International Conference on Education and Technology (ICETECH 2022)</w:t>
      </w:r>
      <w:r w:rsidRPr="005C2782">
        <w:rPr>
          <w:bCs/>
        </w:rPr>
        <w:t xml:space="preserve"> (pp. 584–601). Atlantis Press. </w:t>
      </w:r>
      <w:r>
        <w:rPr>
          <w:bCs/>
        </w:rPr>
        <w:fldChar w:fldCharType="begin"/>
      </w:r>
      <w:r>
        <w:rPr>
          <w:bCs/>
        </w:rPr>
        <w:instrText>HYPERLINK "</w:instrText>
      </w:r>
      <w:r w:rsidRPr="005C2782">
        <w:rPr>
          <w:bCs/>
        </w:rPr>
        <w:instrText>https://doi.org/10.2991/978-2-38476-056-5_57</w:instrText>
      </w:r>
      <w:r>
        <w:rPr>
          <w:bCs/>
        </w:rPr>
        <w:instrText>"</w:instrText>
      </w:r>
      <w:r>
        <w:rPr>
          <w:bCs/>
        </w:rPr>
      </w:r>
      <w:r>
        <w:rPr>
          <w:bCs/>
        </w:rPr>
        <w:fldChar w:fldCharType="separate"/>
      </w:r>
      <w:r w:rsidRPr="000674CB">
        <w:rPr>
          <w:rStyle w:val="Hyperlink"/>
          <w:bCs/>
        </w:rPr>
        <w:t>https://doi.org/10.2991/978-2-38476-056-5_57</w:t>
      </w:r>
      <w:r>
        <w:rPr>
          <w:bCs/>
        </w:rPr>
        <w:fldChar w:fldCharType="end"/>
      </w:r>
    </w:p>
    <w:p w14:paraId="0B991CF4" w14:textId="46225EB1" w:rsidR="00A4630F" w:rsidRDefault="00A4630F" w:rsidP="00A4630F">
      <w:pPr>
        <w:pStyle w:val="E-JournalDaftarPustaka"/>
        <w:spacing w:before="120" w:after="120"/>
        <w:rPr>
          <w:bCs/>
        </w:rPr>
      </w:pPr>
      <w:r w:rsidRPr="005C2782">
        <w:rPr>
          <w:bCs/>
        </w:rPr>
        <w:t xml:space="preserve">Alvarez, J. I., &amp; Galman, S. M. A. (2024). Utilizing digitalization in differentiation: Integration of Desmos in learning analytic geometry and calculus. </w:t>
      </w:r>
      <w:r w:rsidRPr="00CA10EE">
        <w:rPr>
          <w:bCs/>
          <w:i/>
          <w:iCs/>
        </w:rPr>
        <w:t>Galaxy International Interdisciplinary Research Journal, 12</w:t>
      </w:r>
      <w:r w:rsidRPr="005C2782">
        <w:rPr>
          <w:bCs/>
        </w:rPr>
        <w:t>(3), 127–140.</w:t>
      </w:r>
      <w:r w:rsidR="00CA10EE">
        <w:rPr>
          <w:bCs/>
        </w:rPr>
        <w:t xml:space="preserve"> </w:t>
      </w:r>
    </w:p>
    <w:p w14:paraId="0BF87357" w14:textId="77777777" w:rsidR="00A4630F" w:rsidRDefault="00A4630F" w:rsidP="00A4630F">
      <w:pPr>
        <w:pStyle w:val="E-JournalDaftarPustaka"/>
        <w:spacing w:before="120" w:after="120"/>
        <w:rPr>
          <w:bCs/>
        </w:rPr>
      </w:pPr>
      <w:r w:rsidRPr="005C2782">
        <w:rPr>
          <w:bCs/>
        </w:rPr>
        <w:t xml:space="preserve">Angeles, J. R., &amp; Alvarez, J. I. (2023). CMS 21: Integrating game-based learning in basic automotive. </w:t>
      </w:r>
      <w:r w:rsidRPr="00CA10EE">
        <w:rPr>
          <w:bCs/>
          <w:i/>
          <w:iCs/>
        </w:rPr>
        <w:t>EPRA International Journal of Research and Development (IJRD), 8</w:t>
      </w:r>
      <w:r w:rsidRPr="005C2782">
        <w:rPr>
          <w:bCs/>
        </w:rPr>
        <w:t xml:space="preserve">(3), 117–124. </w:t>
      </w:r>
      <w:r>
        <w:rPr>
          <w:bCs/>
        </w:rPr>
        <w:fldChar w:fldCharType="begin"/>
      </w:r>
      <w:r>
        <w:rPr>
          <w:bCs/>
        </w:rPr>
        <w:instrText>HYPERLINK "</w:instrText>
      </w:r>
      <w:r w:rsidRPr="005C2782">
        <w:rPr>
          <w:bCs/>
        </w:rPr>
        <w:instrText>https://doi.org/10.36713/epra12664</w:instrText>
      </w:r>
      <w:r>
        <w:rPr>
          <w:bCs/>
        </w:rPr>
        <w:instrText>"</w:instrText>
      </w:r>
      <w:r>
        <w:rPr>
          <w:bCs/>
        </w:rPr>
      </w:r>
      <w:r>
        <w:rPr>
          <w:bCs/>
        </w:rPr>
        <w:fldChar w:fldCharType="separate"/>
      </w:r>
      <w:r w:rsidRPr="000674CB">
        <w:rPr>
          <w:rStyle w:val="Hyperlink"/>
          <w:bCs/>
        </w:rPr>
        <w:t>https://doi.org/10.36713/epra12664</w:t>
      </w:r>
      <w:r>
        <w:rPr>
          <w:bCs/>
        </w:rPr>
        <w:fldChar w:fldCharType="end"/>
      </w:r>
    </w:p>
    <w:p w14:paraId="6E989B66" w14:textId="21D4653E" w:rsidR="00CA10EE" w:rsidRDefault="00CA10EE" w:rsidP="00A4630F">
      <w:pPr>
        <w:pStyle w:val="E-JournalDaftarPustaka"/>
        <w:spacing w:before="120" w:after="120"/>
        <w:rPr>
          <w:bCs/>
        </w:rPr>
      </w:pPr>
      <w:proofErr w:type="spellStart"/>
      <w:r w:rsidRPr="00CA10EE">
        <w:rPr>
          <w:bCs/>
          <w:lang w:val="en-US"/>
        </w:rPr>
        <w:t>Asmororini</w:t>
      </w:r>
      <w:proofErr w:type="spellEnd"/>
      <w:r w:rsidRPr="00CA10EE">
        <w:rPr>
          <w:bCs/>
          <w:lang w:val="en-US"/>
        </w:rPr>
        <w:t xml:space="preserve">, E., Kinda, J., &amp; </w:t>
      </w:r>
      <w:r w:rsidR="00352510">
        <w:rPr>
          <w:bCs/>
          <w:lang w:val="en-US"/>
        </w:rPr>
        <w:t>S</w:t>
      </w:r>
      <w:r w:rsidRPr="00CA10EE">
        <w:rPr>
          <w:bCs/>
          <w:lang w:val="en-US"/>
        </w:rPr>
        <w:t xml:space="preserve">en, B. (2024). Innovation learning geography with ArcGIS </w:t>
      </w:r>
      <w:r>
        <w:rPr>
          <w:bCs/>
          <w:lang w:val="en-US"/>
        </w:rPr>
        <w:t>o</w:t>
      </w:r>
      <w:r w:rsidRPr="00CA10EE">
        <w:rPr>
          <w:bCs/>
          <w:lang w:val="en-US"/>
        </w:rPr>
        <w:t>nline: The impact to skills collaborative and achievement student school upper intermediate. </w:t>
      </w:r>
      <w:r w:rsidRPr="00CA10EE">
        <w:rPr>
          <w:bCs/>
          <w:i/>
          <w:iCs/>
          <w:lang w:val="en-US"/>
        </w:rPr>
        <w:t>Journal of Educational Technology and Learning Creativity</w:t>
      </w:r>
      <w:r w:rsidRPr="00CA10EE">
        <w:rPr>
          <w:bCs/>
          <w:lang w:val="en-US"/>
        </w:rPr>
        <w:t>, </w:t>
      </w:r>
      <w:r w:rsidRPr="00CA10EE">
        <w:rPr>
          <w:bCs/>
          <w:i/>
          <w:iCs/>
          <w:lang w:val="en-US"/>
        </w:rPr>
        <w:t>2</w:t>
      </w:r>
      <w:r w:rsidRPr="00CA10EE">
        <w:rPr>
          <w:bCs/>
          <w:lang w:val="en-US"/>
        </w:rPr>
        <w:t xml:space="preserve">(1), 1-12. </w:t>
      </w:r>
      <w:hyperlink r:id="rId13" w:history="1">
        <w:r w:rsidRPr="00AF6D23">
          <w:rPr>
            <w:rStyle w:val="Hyperlink"/>
            <w:bCs/>
            <w:lang w:val="en-US"/>
          </w:rPr>
          <w:t>https://doi.org/10.37251/jetlc.v2i1.969</w:t>
        </w:r>
      </w:hyperlink>
      <w:r>
        <w:rPr>
          <w:bCs/>
          <w:lang w:val="en-US"/>
        </w:rPr>
        <w:t xml:space="preserve"> </w:t>
      </w:r>
    </w:p>
    <w:p w14:paraId="556D9B02" w14:textId="3218704A" w:rsidR="00A4630F" w:rsidRDefault="00A4630F" w:rsidP="00A4630F">
      <w:pPr>
        <w:pStyle w:val="E-JournalDaftarPustaka"/>
        <w:spacing w:before="120" w:after="120"/>
        <w:rPr>
          <w:bCs/>
        </w:rPr>
      </w:pPr>
      <w:r w:rsidRPr="005C2782">
        <w:rPr>
          <w:bCs/>
        </w:rPr>
        <w:t xml:space="preserve">Bray, A., &amp; Tangney, B. (2017). Technology usage in mathematics education research—A systematic review of recent trends. </w:t>
      </w:r>
      <w:r w:rsidRPr="00CA10EE">
        <w:rPr>
          <w:bCs/>
          <w:i/>
          <w:iCs/>
        </w:rPr>
        <w:t>Computers &amp; Education, 114</w:t>
      </w:r>
      <w:r w:rsidRPr="005C2782">
        <w:rPr>
          <w:bCs/>
        </w:rPr>
        <w:t xml:space="preserve">, 255–273. </w:t>
      </w:r>
      <w:r>
        <w:rPr>
          <w:bCs/>
        </w:rPr>
        <w:fldChar w:fldCharType="begin"/>
      </w:r>
      <w:r>
        <w:rPr>
          <w:bCs/>
        </w:rPr>
        <w:instrText>HYPERLINK "</w:instrText>
      </w:r>
      <w:r w:rsidRPr="005C2782">
        <w:rPr>
          <w:bCs/>
        </w:rPr>
        <w:instrText>https://doi.org/10.1016/j.compedu.2017.07.002</w:instrText>
      </w:r>
      <w:r>
        <w:rPr>
          <w:bCs/>
        </w:rPr>
        <w:instrText>"</w:instrText>
      </w:r>
      <w:r>
        <w:rPr>
          <w:bCs/>
        </w:rPr>
      </w:r>
      <w:r>
        <w:rPr>
          <w:bCs/>
        </w:rPr>
        <w:fldChar w:fldCharType="separate"/>
      </w:r>
      <w:r w:rsidRPr="000674CB">
        <w:rPr>
          <w:rStyle w:val="Hyperlink"/>
          <w:bCs/>
        </w:rPr>
        <w:t>https://doi.org/10.1016/j.compedu.2017.07.002</w:t>
      </w:r>
      <w:r>
        <w:rPr>
          <w:bCs/>
        </w:rPr>
        <w:fldChar w:fldCharType="end"/>
      </w:r>
    </w:p>
    <w:p w14:paraId="1A583556" w14:textId="0F9EC509" w:rsidR="006D454C" w:rsidRDefault="006D454C" w:rsidP="006D454C">
      <w:pPr>
        <w:pStyle w:val="E-JournalDaftarPustaka"/>
        <w:spacing w:before="120" w:after="120"/>
        <w:rPr>
          <w:bCs/>
        </w:rPr>
      </w:pPr>
      <w:r w:rsidRPr="006D454C">
        <w:rPr>
          <w:bCs/>
        </w:rPr>
        <w:t xml:space="preserve">Cadiz, M. C. D., Manuel, L. A. F., Reyes, M. M., Natividad, L. R., &amp; Ibarra, F. P. (2024). </w:t>
      </w:r>
      <w:r w:rsidR="00CA10EE">
        <w:rPr>
          <w:bCs/>
        </w:rPr>
        <w:t>T</w:t>
      </w:r>
      <w:r w:rsidR="00CA10EE" w:rsidRPr="006D454C">
        <w:rPr>
          <w:bCs/>
        </w:rPr>
        <w:t xml:space="preserve">echnology integration in </w:t>
      </w:r>
      <w:r w:rsidR="00CA10EE">
        <w:rPr>
          <w:bCs/>
        </w:rPr>
        <w:t>P</w:t>
      </w:r>
      <w:r w:rsidR="00CA10EE" w:rsidRPr="006D454C">
        <w:rPr>
          <w:bCs/>
        </w:rPr>
        <w:t>hilippine higher education</w:t>
      </w:r>
      <w:r w:rsidRPr="006D454C">
        <w:rPr>
          <w:bCs/>
        </w:rPr>
        <w:t xml:space="preserve">: A </w:t>
      </w:r>
      <w:r w:rsidR="00CA10EE" w:rsidRPr="006D454C">
        <w:rPr>
          <w:bCs/>
        </w:rPr>
        <w:t>content-based bibliometric analysis</w:t>
      </w:r>
      <w:r w:rsidRPr="006D454C">
        <w:rPr>
          <w:bCs/>
        </w:rPr>
        <w:t xml:space="preserve">. </w:t>
      </w:r>
      <w:r w:rsidRPr="00CA10EE">
        <w:rPr>
          <w:bCs/>
          <w:i/>
          <w:iCs/>
        </w:rPr>
        <w:t>Jurnal Ilmiah Ilmu Terapan Universitas Jambi, 8</w:t>
      </w:r>
      <w:r w:rsidRPr="006D454C">
        <w:rPr>
          <w:bCs/>
        </w:rPr>
        <w:t xml:space="preserve">(1), 35-47. </w:t>
      </w:r>
      <w:r>
        <w:rPr>
          <w:bCs/>
        </w:rPr>
        <w:fldChar w:fldCharType="begin"/>
      </w:r>
      <w:r>
        <w:rPr>
          <w:bCs/>
        </w:rPr>
        <w:instrText>HYPERLINK "</w:instrText>
      </w:r>
      <w:r w:rsidRPr="006D454C">
        <w:rPr>
          <w:bCs/>
        </w:rPr>
        <w:instrText>https://doi.org/10.22437/jiituj.v8i1.31807</w:instrText>
      </w:r>
      <w:r>
        <w:rPr>
          <w:bCs/>
        </w:rPr>
        <w:instrText>"</w:instrText>
      </w:r>
      <w:r>
        <w:rPr>
          <w:bCs/>
        </w:rPr>
      </w:r>
      <w:r>
        <w:rPr>
          <w:bCs/>
        </w:rPr>
        <w:fldChar w:fldCharType="separate"/>
      </w:r>
      <w:r w:rsidRPr="000674CB">
        <w:rPr>
          <w:rStyle w:val="Hyperlink"/>
          <w:bCs/>
        </w:rPr>
        <w:t>https://doi.org/10.22437/jiituj.v8i1.31807</w:t>
      </w:r>
      <w:r>
        <w:rPr>
          <w:bCs/>
        </w:rPr>
        <w:fldChar w:fldCharType="end"/>
      </w:r>
    </w:p>
    <w:p w14:paraId="68E083BA" w14:textId="0B717312" w:rsidR="00A4630F" w:rsidRDefault="00A4630F" w:rsidP="006D454C">
      <w:pPr>
        <w:pStyle w:val="E-JournalDaftarPustaka"/>
        <w:spacing w:before="120" w:after="120"/>
        <w:rPr>
          <w:bCs/>
        </w:rPr>
      </w:pPr>
      <w:r w:rsidRPr="005C2782">
        <w:rPr>
          <w:bCs/>
        </w:rPr>
        <w:t xml:space="preserve">Chen, C. J., &amp; Liu, P. L. (2007). Personalized computer-assisted mathematics problem-solving program and its impact on Taiwanese students. </w:t>
      </w:r>
      <w:r w:rsidRPr="00CA10EE">
        <w:rPr>
          <w:bCs/>
          <w:i/>
          <w:iCs/>
        </w:rPr>
        <w:t>Journal of Computers in Mathematics and Science Teaching, 26</w:t>
      </w:r>
      <w:r w:rsidRPr="005C2782">
        <w:rPr>
          <w:bCs/>
        </w:rPr>
        <w:t xml:space="preserve">(2), 105–121. </w:t>
      </w:r>
      <w:r>
        <w:rPr>
          <w:bCs/>
        </w:rPr>
        <w:fldChar w:fldCharType="begin"/>
      </w:r>
      <w:r>
        <w:rPr>
          <w:bCs/>
        </w:rPr>
        <w:instrText>HYPERLINK "</w:instrText>
      </w:r>
      <w:r w:rsidRPr="005C2782">
        <w:rPr>
          <w:bCs/>
        </w:rPr>
        <w:instrText>https://www.learntechlib.org/primary/p/22138/</w:instrText>
      </w:r>
      <w:r>
        <w:rPr>
          <w:bCs/>
        </w:rPr>
        <w:instrText>"</w:instrText>
      </w:r>
      <w:r>
        <w:rPr>
          <w:bCs/>
        </w:rPr>
      </w:r>
      <w:r>
        <w:rPr>
          <w:bCs/>
        </w:rPr>
        <w:fldChar w:fldCharType="separate"/>
      </w:r>
      <w:r w:rsidRPr="000674CB">
        <w:rPr>
          <w:rStyle w:val="Hyperlink"/>
          <w:bCs/>
        </w:rPr>
        <w:t>https://www.learntechlib.org/primary/p/22138/</w:t>
      </w:r>
      <w:r>
        <w:rPr>
          <w:bCs/>
        </w:rPr>
        <w:fldChar w:fldCharType="end"/>
      </w:r>
    </w:p>
    <w:p w14:paraId="082A54E9" w14:textId="77777777" w:rsidR="00A4630F" w:rsidRDefault="00A4630F" w:rsidP="00A4630F">
      <w:pPr>
        <w:pStyle w:val="E-JournalDaftarPustaka"/>
        <w:spacing w:before="120" w:after="120"/>
        <w:rPr>
          <w:bCs/>
        </w:rPr>
      </w:pPr>
      <w:r w:rsidRPr="005C2782">
        <w:rPr>
          <w:bCs/>
        </w:rPr>
        <w:t xml:space="preserve">Chesani, F., Mello, P., &amp; Milano, M. (2017). Solving mathematical puzzles: A challenging competition for AI. </w:t>
      </w:r>
      <w:r w:rsidRPr="00CA10EE">
        <w:rPr>
          <w:bCs/>
          <w:i/>
          <w:iCs/>
        </w:rPr>
        <w:t>AI Magazine, 38</w:t>
      </w:r>
      <w:r w:rsidRPr="005C2782">
        <w:rPr>
          <w:bCs/>
        </w:rPr>
        <w:t xml:space="preserve">(3), 83-96. </w:t>
      </w:r>
      <w:r>
        <w:rPr>
          <w:bCs/>
        </w:rPr>
        <w:fldChar w:fldCharType="begin"/>
      </w:r>
      <w:r>
        <w:rPr>
          <w:bCs/>
        </w:rPr>
        <w:instrText>HYPERLINK "</w:instrText>
      </w:r>
      <w:r w:rsidRPr="005C2782">
        <w:rPr>
          <w:bCs/>
        </w:rPr>
        <w:instrText>https://doi.org/10.1609/aimag.v38i3.2736</w:instrText>
      </w:r>
      <w:r>
        <w:rPr>
          <w:bCs/>
        </w:rPr>
        <w:instrText>"</w:instrText>
      </w:r>
      <w:r>
        <w:rPr>
          <w:bCs/>
        </w:rPr>
      </w:r>
      <w:r>
        <w:rPr>
          <w:bCs/>
        </w:rPr>
        <w:fldChar w:fldCharType="separate"/>
      </w:r>
      <w:r w:rsidRPr="000674CB">
        <w:rPr>
          <w:rStyle w:val="Hyperlink"/>
          <w:bCs/>
        </w:rPr>
        <w:t>https://doi.org/10.1609/aimag.v38i3.2736</w:t>
      </w:r>
      <w:r>
        <w:rPr>
          <w:bCs/>
        </w:rPr>
        <w:fldChar w:fldCharType="end"/>
      </w:r>
    </w:p>
    <w:p w14:paraId="5B08160E" w14:textId="77777777" w:rsidR="00A4630F" w:rsidRDefault="00A4630F" w:rsidP="00A4630F">
      <w:pPr>
        <w:pStyle w:val="E-JournalDaftarPustaka"/>
        <w:spacing w:before="120" w:after="120"/>
        <w:rPr>
          <w:bCs/>
        </w:rPr>
      </w:pPr>
      <w:r w:rsidRPr="005C2782">
        <w:rPr>
          <w:bCs/>
        </w:rPr>
        <w:t xml:space="preserve">Civil, M., &amp; Bernier, E. (2006). Exploring images of parental participation in mathematics education: Challenges and possibilities. </w:t>
      </w:r>
      <w:r w:rsidRPr="00CA10EE">
        <w:rPr>
          <w:bCs/>
          <w:i/>
          <w:iCs/>
        </w:rPr>
        <w:t>Mathematical Thinking and Learning, 8</w:t>
      </w:r>
      <w:r w:rsidRPr="005C2782">
        <w:rPr>
          <w:bCs/>
        </w:rPr>
        <w:t xml:space="preserve">(4), 309–330. </w:t>
      </w:r>
      <w:r>
        <w:rPr>
          <w:bCs/>
        </w:rPr>
        <w:fldChar w:fldCharType="begin"/>
      </w:r>
      <w:r>
        <w:rPr>
          <w:bCs/>
        </w:rPr>
        <w:instrText>HYPERLINK "</w:instrText>
      </w:r>
      <w:r w:rsidRPr="005C2782">
        <w:rPr>
          <w:bCs/>
        </w:rPr>
        <w:instrText>https://doi.org/10.1207/s15327833mtl0804_2</w:instrText>
      </w:r>
      <w:r>
        <w:rPr>
          <w:bCs/>
        </w:rPr>
        <w:instrText>"</w:instrText>
      </w:r>
      <w:r>
        <w:rPr>
          <w:bCs/>
        </w:rPr>
      </w:r>
      <w:r>
        <w:rPr>
          <w:bCs/>
        </w:rPr>
        <w:fldChar w:fldCharType="separate"/>
      </w:r>
      <w:r w:rsidRPr="000674CB">
        <w:rPr>
          <w:rStyle w:val="Hyperlink"/>
          <w:bCs/>
        </w:rPr>
        <w:t>https://doi.org/10.1207/s15327833mtl0804_2</w:t>
      </w:r>
      <w:r>
        <w:rPr>
          <w:bCs/>
        </w:rPr>
        <w:fldChar w:fldCharType="end"/>
      </w:r>
    </w:p>
    <w:p w14:paraId="604305C1" w14:textId="77777777" w:rsidR="00A4630F" w:rsidRDefault="00A4630F" w:rsidP="00A4630F">
      <w:pPr>
        <w:pStyle w:val="E-JournalDaftarPustaka"/>
        <w:spacing w:before="120" w:after="120"/>
        <w:rPr>
          <w:bCs/>
        </w:rPr>
      </w:pPr>
      <w:r w:rsidRPr="005C2782">
        <w:rPr>
          <w:bCs/>
        </w:rPr>
        <w:t xml:space="preserve">Cope, B., Kalantzis, M., &amp; Searsmith, D. (2020). Artificial intelligence for education: Knowledge and its assessment in AI-enabled learning ecologies. </w:t>
      </w:r>
      <w:r w:rsidRPr="00CA10EE">
        <w:rPr>
          <w:bCs/>
          <w:i/>
          <w:iCs/>
        </w:rPr>
        <w:t>Educational Philosophy and Theory, 53</w:t>
      </w:r>
      <w:r w:rsidRPr="005C2782">
        <w:rPr>
          <w:bCs/>
        </w:rPr>
        <w:t xml:space="preserve">(12), 1229-1245. </w:t>
      </w:r>
      <w:r>
        <w:rPr>
          <w:bCs/>
        </w:rPr>
        <w:fldChar w:fldCharType="begin"/>
      </w:r>
      <w:r>
        <w:rPr>
          <w:bCs/>
        </w:rPr>
        <w:instrText>HYPERLINK "</w:instrText>
      </w:r>
      <w:r w:rsidRPr="005C2782">
        <w:rPr>
          <w:bCs/>
        </w:rPr>
        <w:instrText>https://doi.org/10.1080/00131857.2020.1728732</w:instrText>
      </w:r>
      <w:r>
        <w:rPr>
          <w:bCs/>
        </w:rPr>
        <w:instrText>"</w:instrText>
      </w:r>
      <w:r>
        <w:rPr>
          <w:bCs/>
        </w:rPr>
      </w:r>
      <w:r>
        <w:rPr>
          <w:bCs/>
        </w:rPr>
        <w:fldChar w:fldCharType="separate"/>
      </w:r>
      <w:r w:rsidRPr="000674CB">
        <w:rPr>
          <w:rStyle w:val="Hyperlink"/>
          <w:bCs/>
        </w:rPr>
        <w:t>https://doi.org/10.1080/00131857.2020.1728732</w:t>
      </w:r>
      <w:r>
        <w:rPr>
          <w:bCs/>
        </w:rPr>
        <w:fldChar w:fldCharType="end"/>
      </w:r>
    </w:p>
    <w:p w14:paraId="0640A1D2" w14:textId="26D49E89" w:rsidR="00A4630F" w:rsidRPr="006A43A5" w:rsidRDefault="00A4630F" w:rsidP="00A4630F">
      <w:pPr>
        <w:pStyle w:val="E-JournalDaftarPustaka"/>
        <w:spacing w:before="120" w:after="120"/>
        <w:rPr>
          <w:bCs/>
          <w:lang w:val="en-PH"/>
        </w:rPr>
      </w:pPr>
      <w:proofErr w:type="spellStart"/>
      <w:r w:rsidRPr="006A43A5">
        <w:rPr>
          <w:bCs/>
          <w:lang w:val="en-PH"/>
        </w:rPr>
        <w:t>Dúo-Terrón</w:t>
      </w:r>
      <w:proofErr w:type="spellEnd"/>
      <w:r w:rsidRPr="006A43A5">
        <w:rPr>
          <w:bCs/>
          <w:lang w:val="en-PH"/>
        </w:rPr>
        <w:t>, P. (2024). Generative artificial intelligence: Educational reflections from an analysis of scientific production. </w:t>
      </w:r>
      <w:r w:rsidRPr="006A43A5">
        <w:rPr>
          <w:bCs/>
          <w:i/>
          <w:iCs/>
          <w:lang w:val="en-PH"/>
        </w:rPr>
        <w:t>Journal</w:t>
      </w:r>
      <w:r w:rsidR="00C64FDD">
        <w:rPr>
          <w:bCs/>
          <w:i/>
          <w:iCs/>
          <w:lang w:val="en-PH"/>
        </w:rPr>
        <w:t xml:space="preserve"> </w:t>
      </w:r>
      <w:r w:rsidRPr="006A43A5">
        <w:rPr>
          <w:bCs/>
          <w:i/>
          <w:iCs/>
          <w:lang w:val="en-PH"/>
        </w:rPr>
        <w:t>of Technology and Science Education, </w:t>
      </w:r>
      <w:r w:rsidRPr="006A43A5">
        <w:rPr>
          <w:bCs/>
          <w:lang w:val="en-PH"/>
        </w:rPr>
        <w:t>14(3), 756-769. </w:t>
      </w:r>
      <w:hyperlink r:id="rId14" w:history="1">
        <w:r w:rsidRPr="006A43A5">
          <w:rPr>
            <w:rStyle w:val="Hyperlink"/>
            <w:bCs/>
            <w:lang w:val="en-PH"/>
          </w:rPr>
          <w:t>https://doi.org/10.3926/jotse.2680</w:t>
        </w:r>
      </w:hyperlink>
    </w:p>
    <w:p w14:paraId="788CAD8F" w14:textId="77777777" w:rsidR="00A4630F" w:rsidRDefault="00A4630F" w:rsidP="00A4630F">
      <w:pPr>
        <w:pStyle w:val="E-JournalDaftarPustaka"/>
        <w:spacing w:before="120" w:after="120"/>
        <w:rPr>
          <w:bCs/>
        </w:rPr>
      </w:pPr>
      <w:r w:rsidRPr="000537A8">
        <w:rPr>
          <w:bCs/>
        </w:rPr>
        <w:t xml:space="preserve">Ee, J., &amp; Nan, H. (2018). A study on the relationship between artificial intelligence and change in mathematics education. </w:t>
      </w:r>
      <w:r w:rsidRPr="000537A8">
        <w:rPr>
          <w:bCs/>
          <w:i/>
          <w:iCs/>
        </w:rPr>
        <w:t>Communications of Mathematical Education</w:t>
      </w:r>
      <w:r w:rsidRPr="000537A8">
        <w:rPr>
          <w:bCs/>
        </w:rPr>
        <w:t xml:space="preserve">, </w:t>
      </w:r>
      <w:r w:rsidRPr="000537A8">
        <w:rPr>
          <w:bCs/>
          <w:i/>
          <w:iCs/>
        </w:rPr>
        <w:t>32</w:t>
      </w:r>
      <w:r w:rsidRPr="000537A8">
        <w:rPr>
          <w:bCs/>
        </w:rPr>
        <w:t xml:space="preserve">(1), 23–36. </w:t>
      </w:r>
      <w:r>
        <w:rPr>
          <w:bCs/>
        </w:rPr>
        <w:fldChar w:fldCharType="begin"/>
      </w:r>
      <w:r>
        <w:rPr>
          <w:bCs/>
        </w:rPr>
        <w:instrText>HYPERLINK "</w:instrText>
      </w:r>
      <w:r w:rsidRPr="000537A8">
        <w:rPr>
          <w:bCs/>
        </w:rPr>
        <w:instrText>https://doi.org/10.7468/jksmee.2018.32.1.23</w:instrText>
      </w:r>
      <w:r>
        <w:rPr>
          <w:bCs/>
        </w:rPr>
        <w:instrText>"</w:instrText>
      </w:r>
      <w:r>
        <w:rPr>
          <w:bCs/>
        </w:rPr>
      </w:r>
      <w:r>
        <w:rPr>
          <w:bCs/>
        </w:rPr>
        <w:fldChar w:fldCharType="separate"/>
      </w:r>
      <w:r w:rsidRPr="000537A8">
        <w:rPr>
          <w:rStyle w:val="Hyperlink"/>
          <w:bCs/>
        </w:rPr>
        <w:t>https://doi.org/10.7468/jksmee.2018.32.1.23</w:t>
      </w:r>
      <w:r>
        <w:rPr>
          <w:bCs/>
        </w:rPr>
        <w:fldChar w:fldCharType="end"/>
      </w:r>
    </w:p>
    <w:p w14:paraId="47EB3099" w14:textId="007E3C99" w:rsidR="00A4630F" w:rsidRPr="000537A8" w:rsidRDefault="00A4630F" w:rsidP="00A4630F">
      <w:pPr>
        <w:pStyle w:val="E-JournalDaftarPustaka"/>
        <w:spacing w:before="120" w:after="120"/>
        <w:rPr>
          <w:bCs/>
        </w:rPr>
      </w:pPr>
      <w:r w:rsidRPr="000537A8">
        <w:rPr>
          <w:bCs/>
          <w:lang w:val="en-PH"/>
        </w:rPr>
        <w:t xml:space="preserve">Grover, S., &amp; Pea, R. (2018). Computational </w:t>
      </w:r>
      <w:r w:rsidR="00CA10EE">
        <w:rPr>
          <w:bCs/>
          <w:lang w:val="en-PH"/>
        </w:rPr>
        <w:t>t</w:t>
      </w:r>
      <w:r w:rsidRPr="000537A8">
        <w:rPr>
          <w:bCs/>
          <w:lang w:val="en-PH"/>
        </w:rPr>
        <w:t xml:space="preserve">hinking: A </w:t>
      </w:r>
      <w:r w:rsidR="00CA10EE" w:rsidRPr="000537A8">
        <w:rPr>
          <w:bCs/>
          <w:lang w:val="en-PH"/>
        </w:rPr>
        <w:t>competency whose time has come</w:t>
      </w:r>
      <w:r w:rsidRPr="000537A8">
        <w:rPr>
          <w:bCs/>
          <w:lang w:val="en-PH"/>
        </w:rPr>
        <w:t xml:space="preserve">. </w:t>
      </w:r>
      <w:r w:rsidR="00CA10EE">
        <w:rPr>
          <w:bCs/>
          <w:i/>
          <w:iCs/>
          <w:lang w:val="en-PH"/>
        </w:rPr>
        <w:t xml:space="preserve">In </w:t>
      </w:r>
      <w:r w:rsidRPr="000537A8">
        <w:rPr>
          <w:bCs/>
          <w:i/>
          <w:iCs/>
          <w:lang w:val="en-PH"/>
        </w:rPr>
        <w:t>Bloomsbury Academic eBooks</w:t>
      </w:r>
      <w:r w:rsidRPr="000537A8">
        <w:rPr>
          <w:bCs/>
          <w:lang w:val="en-PH"/>
        </w:rPr>
        <w:t xml:space="preserve">. </w:t>
      </w:r>
      <w:hyperlink r:id="rId15" w:history="1">
        <w:r w:rsidRPr="000537A8">
          <w:rPr>
            <w:rStyle w:val="Hyperlink"/>
            <w:bCs/>
            <w:lang w:val="en-PH"/>
          </w:rPr>
          <w:t>https://doi.org/10.5040/9781350057142.ch-003</w:t>
        </w:r>
      </w:hyperlink>
    </w:p>
    <w:p w14:paraId="3833F6A9" w14:textId="0531B5B5" w:rsidR="00CA10EE" w:rsidRDefault="00CA10EE" w:rsidP="00A4630F">
      <w:pPr>
        <w:pStyle w:val="E-JournalDaftarPustaka"/>
        <w:spacing w:before="120" w:after="120"/>
        <w:rPr>
          <w:bCs/>
        </w:rPr>
      </w:pPr>
      <w:r w:rsidRPr="00CA10EE">
        <w:rPr>
          <w:bCs/>
          <w:lang w:val="en-US"/>
        </w:rPr>
        <w:t xml:space="preserve">Habibi, M. W., Jiyane, L., &amp; </w:t>
      </w:r>
      <w:proofErr w:type="spellStart"/>
      <w:r w:rsidR="00C64FDD">
        <w:rPr>
          <w:bCs/>
          <w:lang w:val="en-US"/>
        </w:rPr>
        <w:t>O</w:t>
      </w:r>
      <w:r w:rsidRPr="00CA10EE">
        <w:rPr>
          <w:bCs/>
          <w:lang w:val="en-US"/>
        </w:rPr>
        <w:t>z</w:t>
      </w:r>
      <w:r w:rsidR="00C64FDD">
        <w:rPr>
          <w:bCs/>
          <w:lang w:val="en-US"/>
        </w:rPr>
        <w:t>s</w:t>
      </w:r>
      <w:r w:rsidRPr="00CA10EE">
        <w:rPr>
          <w:bCs/>
          <w:lang w:val="en-US"/>
        </w:rPr>
        <w:t>en</w:t>
      </w:r>
      <w:proofErr w:type="spellEnd"/>
      <w:r w:rsidRPr="00CA10EE">
        <w:rPr>
          <w:bCs/>
          <w:lang w:val="en-US"/>
        </w:rPr>
        <w:t xml:space="preserve">, Z. (2024). Learning </w:t>
      </w:r>
      <w:r>
        <w:rPr>
          <w:bCs/>
          <w:lang w:val="en-US"/>
        </w:rPr>
        <w:t>r</w:t>
      </w:r>
      <w:r w:rsidRPr="00CA10EE">
        <w:rPr>
          <w:bCs/>
          <w:lang w:val="en-US"/>
        </w:rPr>
        <w:t xml:space="preserve">evolution: The positive impact of computer simulations on science achievement in madrasah </w:t>
      </w:r>
      <w:proofErr w:type="spellStart"/>
      <w:r w:rsidRPr="00CA10EE">
        <w:rPr>
          <w:bCs/>
          <w:lang w:val="en-US"/>
        </w:rPr>
        <w:t>ibtidaiyah</w:t>
      </w:r>
      <w:proofErr w:type="spellEnd"/>
      <w:r w:rsidRPr="00CA10EE">
        <w:rPr>
          <w:bCs/>
          <w:lang w:val="en-US"/>
        </w:rPr>
        <w:t>. </w:t>
      </w:r>
      <w:r w:rsidRPr="00CA10EE">
        <w:rPr>
          <w:bCs/>
          <w:i/>
          <w:iCs/>
          <w:lang w:val="en-US"/>
        </w:rPr>
        <w:t>Journal of Educational Technology and Learning Creativity</w:t>
      </w:r>
      <w:r w:rsidRPr="00CA10EE">
        <w:rPr>
          <w:bCs/>
          <w:lang w:val="en-US"/>
        </w:rPr>
        <w:t>, </w:t>
      </w:r>
      <w:r w:rsidRPr="00CA10EE">
        <w:rPr>
          <w:bCs/>
          <w:i/>
          <w:iCs/>
          <w:lang w:val="en-US"/>
        </w:rPr>
        <w:t>2</w:t>
      </w:r>
      <w:r w:rsidRPr="00CA10EE">
        <w:rPr>
          <w:bCs/>
          <w:lang w:val="en-US"/>
        </w:rPr>
        <w:t xml:space="preserve">(1), 13-19. </w:t>
      </w:r>
      <w:hyperlink r:id="rId16" w:history="1">
        <w:r w:rsidRPr="00CA10EE">
          <w:rPr>
            <w:rStyle w:val="Hyperlink"/>
            <w:bCs/>
            <w:lang w:val="en-US"/>
          </w:rPr>
          <w:t>https://doi.org/10.37251/jetlc.v2i1.976</w:t>
        </w:r>
      </w:hyperlink>
    </w:p>
    <w:p w14:paraId="316B7426" w14:textId="4A945955" w:rsidR="00A4630F" w:rsidRDefault="00A4630F" w:rsidP="00A4630F">
      <w:pPr>
        <w:pStyle w:val="E-JournalDaftarPustaka"/>
        <w:spacing w:before="120" w:after="120"/>
        <w:rPr>
          <w:bCs/>
        </w:rPr>
      </w:pPr>
      <w:r w:rsidRPr="005C2782">
        <w:rPr>
          <w:bCs/>
        </w:rPr>
        <w:t xml:space="preserve">Hwang, G.-J., &amp; Tu, Y.-F. (2021). Roles and research trends of artificial intelligence in mathematics education: A bibliometric mapping analysis and systematic review. Mathematics, 9(6), 584. </w:t>
      </w:r>
      <w:r>
        <w:rPr>
          <w:bCs/>
        </w:rPr>
        <w:fldChar w:fldCharType="begin"/>
      </w:r>
      <w:r>
        <w:rPr>
          <w:bCs/>
        </w:rPr>
        <w:instrText>HYPERLINK "</w:instrText>
      </w:r>
      <w:r w:rsidRPr="005C2782">
        <w:rPr>
          <w:bCs/>
        </w:rPr>
        <w:instrText>https://doi.org/10.3390/math9060584</w:instrText>
      </w:r>
      <w:r>
        <w:rPr>
          <w:bCs/>
        </w:rPr>
        <w:instrText>"</w:instrText>
      </w:r>
      <w:r>
        <w:rPr>
          <w:bCs/>
        </w:rPr>
      </w:r>
      <w:r>
        <w:rPr>
          <w:bCs/>
        </w:rPr>
        <w:fldChar w:fldCharType="separate"/>
      </w:r>
      <w:r w:rsidRPr="000674CB">
        <w:rPr>
          <w:rStyle w:val="Hyperlink"/>
          <w:bCs/>
        </w:rPr>
        <w:t>https://doi.org/10.3390/math9060584</w:t>
      </w:r>
      <w:r>
        <w:rPr>
          <w:bCs/>
        </w:rPr>
        <w:fldChar w:fldCharType="end"/>
      </w:r>
    </w:p>
    <w:p w14:paraId="02539E1D" w14:textId="77777777" w:rsidR="00A4630F" w:rsidRDefault="00A4630F" w:rsidP="00A4630F">
      <w:pPr>
        <w:pStyle w:val="E-JournalDaftarPustaka"/>
        <w:spacing w:before="120" w:after="120"/>
        <w:rPr>
          <w:bCs/>
        </w:rPr>
      </w:pPr>
      <w:r w:rsidRPr="005C2782">
        <w:rPr>
          <w:bCs/>
        </w:rPr>
        <w:t xml:space="preserve">Iqbal, M., Farida, L. Z. N., &amp; Win, K. T. (2023). The influence of student attitudes on learning achievement. </w:t>
      </w:r>
      <w:r w:rsidRPr="00CA10EE">
        <w:rPr>
          <w:bCs/>
          <w:i/>
          <w:iCs/>
        </w:rPr>
        <w:t>Jurnal Ilmiah Ilmu Terapan Universitas Jambi, 7</w:t>
      </w:r>
      <w:r w:rsidRPr="005C2782">
        <w:rPr>
          <w:bCs/>
        </w:rPr>
        <w:t xml:space="preserve">(2), 92-98. </w:t>
      </w:r>
      <w:r>
        <w:rPr>
          <w:bCs/>
        </w:rPr>
        <w:fldChar w:fldCharType="begin"/>
      </w:r>
      <w:r>
        <w:rPr>
          <w:bCs/>
        </w:rPr>
        <w:instrText>HYPERLINK "</w:instrText>
      </w:r>
      <w:r w:rsidRPr="005C2782">
        <w:rPr>
          <w:bCs/>
        </w:rPr>
        <w:instrText>https://doi.org/10.22437/jiituj.v7i2.26697</w:instrText>
      </w:r>
      <w:r>
        <w:rPr>
          <w:bCs/>
        </w:rPr>
        <w:instrText>"</w:instrText>
      </w:r>
      <w:r>
        <w:rPr>
          <w:bCs/>
        </w:rPr>
      </w:r>
      <w:r>
        <w:rPr>
          <w:bCs/>
        </w:rPr>
        <w:fldChar w:fldCharType="separate"/>
      </w:r>
      <w:r w:rsidRPr="000674CB">
        <w:rPr>
          <w:rStyle w:val="Hyperlink"/>
          <w:bCs/>
        </w:rPr>
        <w:t>https://doi.org/10.22437/jiituj.v7i2.26697</w:t>
      </w:r>
      <w:r>
        <w:rPr>
          <w:bCs/>
        </w:rPr>
        <w:fldChar w:fldCharType="end"/>
      </w:r>
    </w:p>
    <w:p w14:paraId="5CE57CE0" w14:textId="77777777" w:rsidR="00A4630F" w:rsidRDefault="00A4630F" w:rsidP="00A4630F">
      <w:pPr>
        <w:pStyle w:val="E-JournalDaftarPustaka"/>
        <w:spacing w:before="120" w:after="120"/>
        <w:rPr>
          <w:bCs/>
          <w:lang w:val="en-PH"/>
        </w:rPr>
      </w:pPr>
      <w:r w:rsidRPr="006A43A5">
        <w:rPr>
          <w:bCs/>
          <w:lang w:val="en-PH"/>
        </w:rPr>
        <w:t>Kirschner, P. A., Sweller, J., &amp; Clark, R. E. (20</w:t>
      </w:r>
      <w:r>
        <w:rPr>
          <w:bCs/>
          <w:lang w:val="en-PH"/>
        </w:rPr>
        <w:t>18</w:t>
      </w:r>
      <w:r w:rsidRPr="006A43A5">
        <w:rPr>
          <w:bCs/>
          <w:lang w:val="en-PH"/>
        </w:rPr>
        <w:t>). Why Minimal Guidance During Instruction Does Not Work: An Analysis of the Failure of Constructivist, Discovery, Problem-Based, Experiential, and Inquiry-Based Teaching. </w:t>
      </w:r>
      <w:r w:rsidRPr="006A43A5">
        <w:rPr>
          <w:bCs/>
          <w:i/>
          <w:iCs/>
          <w:lang w:val="en-PH"/>
        </w:rPr>
        <w:t>Educational Psychologist</w:t>
      </w:r>
      <w:r w:rsidRPr="006A43A5">
        <w:rPr>
          <w:bCs/>
          <w:lang w:val="en-PH"/>
        </w:rPr>
        <w:t>, </w:t>
      </w:r>
      <w:r w:rsidRPr="006A43A5">
        <w:rPr>
          <w:bCs/>
          <w:i/>
          <w:iCs/>
          <w:lang w:val="en-PH"/>
        </w:rPr>
        <w:t>41</w:t>
      </w:r>
      <w:r w:rsidRPr="006A43A5">
        <w:rPr>
          <w:bCs/>
          <w:lang w:val="en-PH"/>
        </w:rPr>
        <w:t xml:space="preserve">(2), 75–86. </w:t>
      </w:r>
      <w:hyperlink r:id="rId17" w:history="1">
        <w:r w:rsidRPr="000674CB">
          <w:rPr>
            <w:rStyle w:val="Hyperlink"/>
            <w:bCs/>
            <w:lang w:val="en-PH"/>
          </w:rPr>
          <w:t>https://doi.org/10.1207/s15326985ep4102_1</w:t>
        </w:r>
      </w:hyperlink>
    </w:p>
    <w:p w14:paraId="6AF47C02" w14:textId="77777777" w:rsidR="00A4630F" w:rsidRDefault="00A4630F" w:rsidP="00A4630F">
      <w:pPr>
        <w:pStyle w:val="E-JournalDaftarPustaka"/>
        <w:spacing w:before="120" w:after="120"/>
        <w:rPr>
          <w:bCs/>
          <w:lang w:val="en-PH"/>
        </w:rPr>
      </w:pPr>
      <w:proofErr w:type="spellStart"/>
      <w:r w:rsidRPr="000537A8">
        <w:rPr>
          <w:bCs/>
          <w:lang w:val="en-PH"/>
        </w:rPr>
        <w:t>Kutyniok</w:t>
      </w:r>
      <w:proofErr w:type="spellEnd"/>
      <w:r w:rsidRPr="000537A8">
        <w:rPr>
          <w:bCs/>
          <w:lang w:val="en-PH"/>
        </w:rPr>
        <w:t xml:space="preserve">, G. &amp; International Mathematical Union. (2022). The mathematics of artificial intelligence. In </w:t>
      </w:r>
      <w:r w:rsidRPr="000537A8">
        <w:rPr>
          <w:bCs/>
          <w:i/>
          <w:iCs/>
          <w:lang w:val="en-PH"/>
        </w:rPr>
        <w:t>Proc. Int. Cong. Math. 2022</w:t>
      </w:r>
      <w:r w:rsidRPr="000537A8">
        <w:rPr>
          <w:bCs/>
          <w:lang w:val="en-PH"/>
        </w:rPr>
        <w:t xml:space="preserve"> (Vol. 7, pp. 5118–5139). EMS Press. </w:t>
      </w:r>
      <w:hyperlink r:id="rId18" w:history="1">
        <w:r w:rsidRPr="000537A8">
          <w:rPr>
            <w:rStyle w:val="Hyperlink"/>
            <w:bCs/>
            <w:lang w:val="en-PH"/>
          </w:rPr>
          <w:t>https://doi.org/10.4171/ICM2022/14</w:t>
        </w:r>
        <w:r w:rsidRPr="000674CB">
          <w:rPr>
            <w:rStyle w:val="Hyperlink"/>
            <w:bCs/>
            <w:lang w:val="en-PH"/>
          </w:rPr>
          <w:t>1</w:t>
        </w:r>
      </w:hyperlink>
    </w:p>
    <w:p w14:paraId="40465961" w14:textId="253F7EE0" w:rsidR="00A4630F" w:rsidRPr="000537A8" w:rsidRDefault="00A4630F" w:rsidP="00A4630F">
      <w:pPr>
        <w:pStyle w:val="E-JournalDaftarPustaka"/>
        <w:spacing w:before="120" w:after="120"/>
        <w:rPr>
          <w:bCs/>
          <w:lang w:val="en-PH"/>
        </w:rPr>
      </w:pPr>
      <w:r w:rsidRPr="006A43A5">
        <w:rPr>
          <w:bCs/>
        </w:rPr>
        <w:t xml:space="preserve">Li, Y., Schoenfeld, A. H., diSessa, A. A., Graesser, A. C., Benson, L. C., English, L. D., &amp; Duschl, R. A. (2020). On </w:t>
      </w:r>
      <w:r w:rsidR="00CA10EE">
        <w:rPr>
          <w:bCs/>
        </w:rPr>
        <w:t>c</w:t>
      </w:r>
      <w:r w:rsidRPr="006A43A5">
        <w:rPr>
          <w:bCs/>
        </w:rPr>
        <w:t xml:space="preserve">omputational </w:t>
      </w:r>
      <w:r w:rsidR="00CA10EE">
        <w:rPr>
          <w:bCs/>
        </w:rPr>
        <w:t>t</w:t>
      </w:r>
      <w:r w:rsidRPr="006A43A5">
        <w:rPr>
          <w:bCs/>
        </w:rPr>
        <w:t xml:space="preserve">hinking and STEM </w:t>
      </w:r>
      <w:r w:rsidR="00CA10EE">
        <w:rPr>
          <w:bCs/>
        </w:rPr>
        <w:t>e</w:t>
      </w:r>
      <w:r w:rsidRPr="006A43A5">
        <w:rPr>
          <w:bCs/>
        </w:rPr>
        <w:t xml:space="preserve">ducation. </w:t>
      </w:r>
      <w:r w:rsidRPr="00CA10EE">
        <w:rPr>
          <w:bCs/>
          <w:i/>
          <w:iCs/>
        </w:rPr>
        <w:t>Journal for STEM Education Research, 3</w:t>
      </w:r>
      <w:r w:rsidRPr="006A43A5">
        <w:rPr>
          <w:bCs/>
        </w:rPr>
        <w:t xml:space="preserve">(2), 147–166. </w:t>
      </w:r>
      <w:r>
        <w:rPr>
          <w:bCs/>
        </w:rPr>
        <w:fldChar w:fldCharType="begin"/>
      </w:r>
      <w:r>
        <w:rPr>
          <w:bCs/>
        </w:rPr>
        <w:instrText>HYPERLINK "</w:instrText>
      </w:r>
      <w:r w:rsidRPr="006A43A5">
        <w:rPr>
          <w:bCs/>
        </w:rPr>
        <w:instrText>https://doi.org/10.1007/s41979-020-00044-w</w:instrText>
      </w:r>
      <w:r>
        <w:rPr>
          <w:bCs/>
        </w:rPr>
        <w:instrText>"</w:instrText>
      </w:r>
      <w:r>
        <w:rPr>
          <w:bCs/>
        </w:rPr>
      </w:r>
      <w:r>
        <w:rPr>
          <w:bCs/>
        </w:rPr>
        <w:fldChar w:fldCharType="separate"/>
      </w:r>
      <w:r w:rsidRPr="000674CB">
        <w:rPr>
          <w:rStyle w:val="Hyperlink"/>
          <w:bCs/>
        </w:rPr>
        <w:t>https://doi.org/10.1007/s41979-020-00044-w</w:t>
      </w:r>
      <w:r>
        <w:rPr>
          <w:bCs/>
        </w:rPr>
        <w:fldChar w:fldCharType="end"/>
      </w:r>
    </w:p>
    <w:p w14:paraId="7512C9E0" w14:textId="63B616C0" w:rsidR="006727A2" w:rsidRDefault="006727A2" w:rsidP="00A4630F">
      <w:pPr>
        <w:pStyle w:val="E-JournalDaftarPustaka"/>
        <w:spacing w:before="120" w:after="120"/>
        <w:rPr>
          <w:bCs/>
        </w:rPr>
      </w:pPr>
      <w:bookmarkStart w:id="3" w:name="_Hlk180070858"/>
      <w:r w:rsidRPr="006727A2">
        <w:rPr>
          <w:bCs/>
          <w:lang w:val="en-US"/>
        </w:rPr>
        <w:t xml:space="preserve">Manlapig, E. (2024). Enhancing </w:t>
      </w:r>
      <w:r w:rsidRPr="006727A2">
        <w:rPr>
          <w:bCs/>
          <w:lang w:val="en-US"/>
        </w:rPr>
        <w:t>student learning motivation in physics through interactive physics education technology</w:t>
      </w:r>
      <w:r w:rsidRPr="006727A2">
        <w:rPr>
          <w:bCs/>
          <w:lang w:val="en-US"/>
        </w:rPr>
        <w:t xml:space="preserve"> (</w:t>
      </w:r>
      <w:proofErr w:type="spellStart"/>
      <w:r w:rsidRPr="006727A2">
        <w:rPr>
          <w:bCs/>
          <w:lang w:val="en-US"/>
        </w:rPr>
        <w:t>PhET</w:t>
      </w:r>
      <w:proofErr w:type="spellEnd"/>
      <w:r w:rsidRPr="006727A2">
        <w:rPr>
          <w:bCs/>
          <w:lang w:val="en-US"/>
        </w:rPr>
        <w:t xml:space="preserve">) </w:t>
      </w:r>
      <w:r>
        <w:rPr>
          <w:bCs/>
          <w:lang w:val="en-US"/>
        </w:rPr>
        <w:t>s</w:t>
      </w:r>
      <w:r w:rsidRPr="006727A2">
        <w:rPr>
          <w:bCs/>
          <w:lang w:val="en-US"/>
        </w:rPr>
        <w:t>imulation. </w:t>
      </w:r>
      <w:r w:rsidRPr="006727A2">
        <w:rPr>
          <w:bCs/>
          <w:i/>
          <w:iCs/>
          <w:lang w:val="en-US"/>
        </w:rPr>
        <w:t>Schrödinger: Journal of Physics Education</w:t>
      </w:r>
      <w:r w:rsidRPr="006727A2">
        <w:rPr>
          <w:bCs/>
          <w:lang w:val="en-US"/>
        </w:rPr>
        <w:t>, </w:t>
      </w:r>
      <w:r w:rsidRPr="006727A2">
        <w:rPr>
          <w:bCs/>
          <w:i/>
          <w:iCs/>
          <w:lang w:val="en-US"/>
        </w:rPr>
        <w:t>5</w:t>
      </w:r>
      <w:r w:rsidRPr="006727A2">
        <w:rPr>
          <w:bCs/>
          <w:lang w:val="en-US"/>
        </w:rPr>
        <w:t xml:space="preserve">(3), 88-97. </w:t>
      </w:r>
      <w:hyperlink r:id="rId19" w:history="1">
        <w:r w:rsidRPr="00AF6D23">
          <w:rPr>
            <w:rStyle w:val="Hyperlink"/>
            <w:bCs/>
            <w:lang w:val="en-US"/>
          </w:rPr>
          <w:t>https://doi.org/10.37251/sjpe.v5i3.1025</w:t>
        </w:r>
      </w:hyperlink>
      <w:r>
        <w:rPr>
          <w:bCs/>
          <w:lang w:val="en-US"/>
        </w:rPr>
        <w:t xml:space="preserve"> </w:t>
      </w:r>
    </w:p>
    <w:p w14:paraId="65DFB36E" w14:textId="344C7AE1" w:rsidR="00A4630F" w:rsidRDefault="00A4630F" w:rsidP="00A4630F">
      <w:pPr>
        <w:pStyle w:val="E-JournalDaftarPustaka"/>
        <w:spacing w:before="120" w:after="120"/>
        <w:rPr>
          <w:bCs/>
        </w:rPr>
      </w:pPr>
      <w:r w:rsidRPr="005C2782">
        <w:rPr>
          <w:bCs/>
        </w:rPr>
        <w:t>Mohamed</w:t>
      </w:r>
      <w:bookmarkEnd w:id="3"/>
      <w:r w:rsidRPr="005C2782">
        <w:rPr>
          <w:bCs/>
        </w:rPr>
        <w:t xml:space="preserve">, M. Z. B., Hidayat, R., Suhaizi, N. N. B., Sabri, N. B. M., Mahmud, M. K. H. B., &amp; Baharuddin, S. N. B. (2022). Artificial intelligence in mathematics education: A systematic literature review. </w:t>
      </w:r>
      <w:r w:rsidRPr="00CA10EE">
        <w:rPr>
          <w:bCs/>
          <w:i/>
          <w:iCs/>
        </w:rPr>
        <w:t>International Electronic Journal of Mathematics Education, 17</w:t>
      </w:r>
      <w:r w:rsidRPr="005C2782">
        <w:rPr>
          <w:bCs/>
        </w:rPr>
        <w:t xml:space="preserve">(3), em0694. </w:t>
      </w:r>
      <w:r>
        <w:rPr>
          <w:bCs/>
        </w:rPr>
        <w:fldChar w:fldCharType="begin"/>
      </w:r>
      <w:r>
        <w:rPr>
          <w:bCs/>
        </w:rPr>
        <w:instrText>HYPERLINK "</w:instrText>
      </w:r>
      <w:r w:rsidRPr="005C2782">
        <w:rPr>
          <w:bCs/>
        </w:rPr>
        <w:instrText>https://doi.org/10.29333/iejme/12132</w:instrText>
      </w:r>
      <w:r>
        <w:rPr>
          <w:bCs/>
        </w:rPr>
        <w:instrText>"</w:instrText>
      </w:r>
      <w:r>
        <w:rPr>
          <w:bCs/>
        </w:rPr>
      </w:r>
      <w:r>
        <w:rPr>
          <w:bCs/>
        </w:rPr>
        <w:fldChar w:fldCharType="separate"/>
      </w:r>
      <w:r w:rsidRPr="000674CB">
        <w:rPr>
          <w:rStyle w:val="Hyperlink"/>
          <w:bCs/>
        </w:rPr>
        <w:t>https://doi.org/10.293</w:t>
      </w:r>
      <w:r w:rsidRPr="000674CB">
        <w:rPr>
          <w:rStyle w:val="Hyperlink"/>
          <w:bCs/>
        </w:rPr>
        <w:t>3</w:t>
      </w:r>
      <w:r w:rsidRPr="000674CB">
        <w:rPr>
          <w:rStyle w:val="Hyperlink"/>
          <w:bCs/>
        </w:rPr>
        <w:t>3/iejme/12132</w:t>
      </w:r>
      <w:r>
        <w:rPr>
          <w:bCs/>
        </w:rPr>
        <w:fldChar w:fldCharType="end"/>
      </w:r>
    </w:p>
    <w:p w14:paraId="0341335C" w14:textId="77777777" w:rsidR="00A4630F" w:rsidRDefault="00A4630F" w:rsidP="00A4630F">
      <w:pPr>
        <w:pStyle w:val="E-JournalDaftarPustaka"/>
        <w:spacing w:before="120" w:after="120"/>
        <w:rPr>
          <w:bCs/>
        </w:rPr>
      </w:pPr>
      <w:r w:rsidRPr="005C2782">
        <w:rPr>
          <w:bCs/>
        </w:rPr>
        <w:t xml:space="preserve">Nazaretsky, T., Ariely, M., Cukurova, M., &amp; Alexandron, G. (2022). Teachers’ trust in AI-powered educational technology and a professional development program to improve it. </w:t>
      </w:r>
      <w:r w:rsidRPr="006727A2">
        <w:rPr>
          <w:bCs/>
          <w:i/>
          <w:iCs/>
        </w:rPr>
        <w:t>British Journal of Educational Technology, 53</w:t>
      </w:r>
      <w:r w:rsidRPr="005C2782">
        <w:rPr>
          <w:bCs/>
        </w:rPr>
        <w:t xml:space="preserve">(4), 914-931. </w:t>
      </w:r>
      <w:r>
        <w:rPr>
          <w:bCs/>
        </w:rPr>
        <w:fldChar w:fldCharType="begin"/>
      </w:r>
      <w:r>
        <w:rPr>
          <w:bCs/>
        </w:rPr>
        <w:instrText>HYPERLINK "</w:instrText>
      </w:r>
      <w:r w:rsidRPr="005C2782">
        <w:rPr>
          <w:bCs/>
        </w:rPr>
        <w:instrText>https://doi.org/10.1111/bjet.13232</w:instrText>
      </w:r>
      <w:r>
        <w:rPr>
          <w:bCs/>
        </w:rPr>
        <w:instrText>"</w:instrText>
      </w:r>
      <w:r>
        <w:rPr>
          <w:bCs/>
        </w:rPr>
      </w:r>
      <w:r>
        <w:rPr>
          <w:bCs/>
        </w:rPr>
        <w:fldChar w:fldCharType="separate"/>
      </w:r>
      <w:r w:rsidRPr="000674CB">
        <w:rPr>
          <w:rStyle w:val="Hyperlink"/>
          <w:bCs/>
        </w:rPr>
        <w:t>https://doi.org/10.1111/bjet.13232</w:t>
      </w:r>
      <w:r>
        <w:rPr>
          <w:bCs/>
        </w:rPr>
        <w:fldChar w:fldCharType="end"/>
      </w:r>
    </w:p>
    <w:p w14:paraId="595514CF" w14:textId="7C59F8B5" w:rsidR="008A1D9C" w:rsidRDefault="00CF317F" w:rsidP="008A1D9C">
      <w:pPr>
        <w:pStyle w:val="E-JournalDaftarPustaka"/>
        <w:spacing w:before="120" w:after="120"/>
        <w:rPr>
          <w:bCs/>
          <w:lang w:val="en-US"/>
        </w:rPr>
      </w:pPr>
      <w:r w:rsidRPr="00CF317F">
        <w:rPr>
          <w:bCs/>
          <w:lang w:val="en-US"/>
        </w:rPr>
        <w:t xml:space="preserve">Nehru, N., </w:t>
      </w:r>
      <w:proofErr w:type="spellStart"/>
      <w:r w:rsidRPr="00CF317F">
        <w:rPr>
          <w:bCs/>
          <w:lang w:val="en-US"/>
        </w:rPr>
        <w:t>Purwaningsih</w:t>
      </w:r>
      <w:proofErr w:type="spellEnd"/>
      <w:r w:rsidRPr="00CF317F">
        <w:rPr>
          <w:bCs/>
          <w:lang w:val="en-US"/>
        </w:rPr>
        <w:t xml:space="preserve">, S., </w:t>
      </w:r>
      <w:proofErr w:type="spellStart"/>
      <w:r w:rsidRPr="00CF317F">
        <w:rPr>
          <w:bCs/>
          <w:lang w:val="en-US"/>
        </w:rPr>
        <w:t>Riantoni</w:t>
      </w:r>
      <w:proofErr w:type="spellEnd"/>
      <w:r w:rsidRPr="00CF317F">
        <w:rPr>
          <w:bCs/>
          <w:lang w:val="en-US"/>
        </w:rPr>
        <w:t xml:space="preserve">, C., </w:t>
      </w:r>
      <w:proofErr w:type="spellStart"/>
      <w:r w:rsidRPr="00CF317F">
        <w:rPr>
          <w:bCs/>
          <w:lang w:val="en-US"/>
        </w:rPr>
        <w:t>Ropawandi</w:t>
      </w:r>
      <w:proofErr w:type="spellEnd"/>
      <w:r w:rsidRPr="00CF317F">
        <w:rPr>
          <w:bCs/>
          <w:lang w:val="en-US"/>
        </w:rPr>
        <w:t xml:space="preserve">, D., &amp; </w:t>
      </w:r>
      <w:proofErr w:type="spellStart"/>
      <w:r w:rsidRPr="00CF317F">
        <w:rPr>
          <w:bCs/>
          <w:lang w:val="en-US"/>
        </w:rPr>
        <w:t>Novallyan</w:t>
      </w:r>
      <w:proofErr w:type="spellEnd"/>
      <w:r w:rsidRPr="00CF317F">
        <w:rPr>
          <w:bCs/>
          <w:lang w:val="en-US"/>
        </w:rPr>
        <w:t xml:space="preserve">, D. (2024). </w:t>
      </w:r>
      <w:r w:rsidR="006727A2">
        <w:rPr>
          <w:bCs/>
          <w:lang w:val="en-US"/>
        </w:rPr>
        <w:t>M</w:t>
      </w:r>
      <w:r w:rsidR="006727A2" w:rsidRPr="00CF317F">
        <w:rPr>
          <w:bCs/>
          <w:lang w:val="en-US"/>
        </w:rPr>
        <w:t>apping students’ thinking systems in critical thinking based on stem project-based learning experiences</w:t>
      </w:r>
      <w:r w:rsidRPr="00CF317F">
        <w:rPr>
          <w:bCs/>
          <w:lang w:val="en-US"/>
        </w:rPr>
        <w:t>. </w:t>
      </w:r>
      <w:proofErr w:type="spellStart"/>
      <w:r w:rsidRPr="00CF317F">
        <w:rPr>
          <w:bCs/>
          <w:i/>
          <w:iCs/>
          <w:lang w:val="en-US"/>
        </w:rPr>
        <w:t>Jurnal</w:t>
      </w:r>
      <w:proofErr w:type="spellEnd"/>
      <w:r w:rsidRPr="00CF317F">
        <w:rPr>
          <w:bCs/>
          <w:i/>
          <w:iCs/>
          <w:lang w:val="en-US"/>
        </w:rPr>
        <w:t xml:space="preserve"> </w:t>
      </w:r>
      <w:proofErr w:type="spellStart"/>
      <w:r w:rsidRPr="00CF317F">
        <w:rPr>
          <w:bCs/>
          <w:i/>
          <w:iCs/>
          <w:lang w:val="en-US"/>
        </w:rPr>
        <w:t>Ilmiah</w:t>
      </w:r>
      <w:proofErr w:type="spellEnd"/>
      <w:r w:rsidRPr="00CF317F">
        <w:rPr>
          <w:bCs/>
          <w:i/>
          <w:iCs/>
          <w:lang w:val="en-US"/>
        </w:rPr>
        <w:t xml:space="preserve"> </w:t>
      </w:r>
      <w:proofErr w:type="spellStart"/>
      <w:r w:rsidRPr="00CF317F">
        <w:rPr>
          <w:bCs/>
          <w:i/>
          <w:iCs/>
          <w:lang w:val="en-US"/>
        </w:rPr>
        <w:t>Ilmu</w:t>
      </w:r>
      <w:proofErr w:type="spellEnd"/>
      <w:r w:rsidRPr="00CF317F">
        <w:rPr>
          <w:bCs/>
          <w:i/>
          <w:iCs/>
          <w:lang w:val="en-US"/>
        </w:rPr>
        <w:t xml:space="preserve"> </w:t>
      </w:r>
      <w:proofErr w:type="spellStart"/>
      <w:r w:rsidRPr="00CF317F">
        <w:rPr>
          <w:bCs/>
          <w:i/>
          <w:iCs/>
          <w:lang w:val="en-US"/>
        </w:rPr>
        <w:t>Terapan</w:t>
      </w:r>
      <w:proofErr w:type="spellEnd"/>
      <w:r w:rsidRPr="00CF317F">
        <w:rPr>
          <w:bCs/>
          <w:i/>
          <w:iCs/>
          <w:lang w:val="en-US"/>
        </w:rPr>
        <w:t xml:space="preserve"> Universitas Jambi</w:t>
      </w:r>
      <w:r w:rsidRPr="00CF317F">
        <w:rPr>
          <w:bCs/>
          <w:lang w:val="en-US"/>
        </w:rPr>
        <w:t>, </w:t>
      </w:r>
      <w:r w:rsidRPr="00CF317F">
        <w:rPr>
          <w:bCs/>
          <w:i/>
          <w:iCs/>
          <w:lang w:val="en-US"/>
        </w:rPr>
        <w:t>8</w:t>
      </w:r>
      <w:r w:rsidRPr="00CF317F">
        <w:rPr>
          <w:bCs/>
          <w:lang w:val="en-US"/>
        </w:rPr>
        <w:t xml:space="preserve">(1), 136-144. </w:t>
      </w:r>
      <w:hyperlink r:id="rId20" w:history="1">
        <w:r w:rsidR="008A1D9C" w:rsidRPr="000674CB">
          <w:rPr>
            <w:rStyle w:val="Hyperlink"/>
            <w:bCs/>
            <w:lang w:val="en-US"/>
          </w:rPr>
          <w:t>https://doi.org/10.22437/jiituj.v8i1.32027</w:t>
        </w:r>
      </w:hyperlink>
    </w:p>
    <w:p w14:paraId="775C076B" w14:textId="2C1FC1A8" w:rsidR="00A4630F" w:rsidRPr="008A1D9C" w:rsidRDefault="00A4630F" w:rsidP="008A1D9C">
      <w:pPr>
        <w:pStyle w:val="E-JournalDaftarPustaka"/>
        <w:spacing w:before="120" w:after="120"/>
        <w:rPr>
          <w:bCs/>
          <w:lang w:val="en-US"/>
        </w:rPr>
      </w:pPr>
      <w:r w:rsidRPr="005C2782">
        <w:rPr>
          <w:bCs/>
        </w:rPr>
        <w:t xml:space="preserve">Owan, V. J., Abang, K. B., Idika, D. O., Etta, E. O., &amp; Bassey, B. A. (2023). Exploring the potential of artificial intelligence tools in educational measurement and assessment. </w:t>
      </w:r>
      <w:r w:rsidRPr="006727A2">
        <w:rPr>
          <w:bCs/>
          <w:i/>
          <w:iCs/>
        </w:rPr>
        <w:t>EURASIA Journal of Mathematics, Science and Technology Education, 19</w:t>
      </w:r>
      <w:r w:rsidRPr="005C2782">
        <w:rPr>
          <w:bCs/>
        </w:rPr>
        <w:t xml:space="preserve">(8). </w:t>
      </w:r>
      <w:r>
        <w:rPr>
          <w:bCs/>
        </w:rPr>
        <w:fldChar w:fldCharType="begin"/>
      </w:r>
      <w:r>
        <w:rPr>
          <w:bCs/>
        </w:rPr>
        <w:instrText>HYPERLINK "</w:instrText>
      </w:r>
      <w:r w:rsidRPr="005C2782">
        <w:rPr>
          <w:bCs/>
        </w:rPr>
        <w:instrText>https://doi.org/10.29333/ejmste/13428</w:instrText>
      </w:r>
      <w:r>
        <w:rPr>
          <w:bCs/>
        </w:rPr>
        <w:instrText>"</w:instrText>
      </w:r>
      <w:r>
        <w:rPr>
          <w:bCs/>
        </w:rPr>
      </w:r>
      <w:r>
        <w:rPr>
          <w:bCs/>
        </w:rPr>
        <w:fldChar w:fldCharType="separate"/>
      </w:r>
      <w:r w:rsidRPr="000674CB">
        <w:rPr>
          <w:rStyle w:val="Hyperlink"/>
          <w:bCs/>
        </w:rPr>
        <w:t>https://doi.org/10.29333/ejmste/13428</w:t>
      </w:r>
      <w:r>
        <w:rPr>
          <w:bCs/>
        </w:rPr>
        <w:fldChar w:fldCharType="end"/>
      </w:r>
    </w:p>
    <w:p w14:paraId="20957A27" w14:textId="77777777" w:rsidR="00A4630F" w:rsidRDefault="00A4630F" w:rsidP="00A4630F">
      <w:pPr>
        <w:pStyle w:val="E-JournalDaftarPustaka"/>
        <w:spacing w:before="120" w:after="120"/>
        <w:rPr>
          <w:bCs/>
        </w:rPr>
      </w:pPr>
      <w:r w:rsidRPr="005C2782">
        <w:rPr>
          <w:bCs/>
        </w:rPr>
        <w:t xml:space="preserve">Popenici, S. A., &amp; Kerr, S. (2017). Exploring the impact of artificial intelligence on teaching and learning in higher education. </w:t>
      </w:r>
      <w:r w:rsidRPr="006727A2">
        <w:rPr>
          <w:bCs/>
          <w:i/>
          <w:iCs/>
        </w:rPr>
        <w:t>Research and Practice in Technology Enhanced Learning, 12</w:t>
      </w:r>
      <w:r w:rsidRPr="005C2782">
        <w:rPr>
          <w:bCs/>
        </w:rPr>
        <w:t xml:space="preserve">(22), 1-13. </w:t>
      </w:r>
      <w:r>
        <w:rPr>
          <w:bCs/>
        </w:rPr>
        <w:fldChar w:fldCharType="begin"/>
      </w:r>
      <w:r>
        <w:rPr>
          <w:bCs/>
        </w:rPr>
        <w:instrText>HYPERLINK "</w:instrText>
      </w:r>
      <w:r w:rsidRPr="005C2782">
        <w:rPr>
          <w:bCs/>
        </w:rPr>
        <w:instrText>https://doi.org/10.1186/s41039-017-0062-8</w:instrText>
      </w:r>
      <w:r>
        <w:rPr>
          <w:bCs/>
        </w:rPr>
        <w:instrText>"</w:instrText>
      </w:r>
      <w:r>
        <w:rPr>
          <w:bCs/>
        </w:rPr>
      </w:r>
      <w:r>
        <w:rPr>
          <w:bCs/>
        </w:rPr>
        <w:fldChar w:fldCharType="separate"/>
      </w:r>
      <w:r w:rsidRPr="000674CB">
        <w:rPr>
          <w:rStyle w:val="Hyperlink"/>
          <w:bCs/>
        </w:rPr>
        <w:t>https://doi.org/10.1186/s41039-017-0062-8</w:t>
      </w:r>
      <w:r>
        <w:rPr>
          <w:bCs/>
        </w:rPr>
        <w:fldChar w:fldCharType="end"/>
      </w:r>
    </w:p>
    <w:p w14:paraId="0573D8E1" w14:textId="0CACB68C" w:rsidR="006727A2" w:rsidRDefault="006727A2" w:rsidP="00A4630F">
      <w:pPr>
        <w:pStyle w:val="E-JournalDaftarPustaka"/>
        <w:spacing w:before="120" w:after="120"/>
        <w:rPr>
          <w:bCs/>
        </w:rPr>
      </w:pPr>
      <w:r w:rsidRPr="006727A2">
        <w:rPr>
          <w:bCs/>
          <w:lang w:val="en-US"/>
        </w:rPr>
        <w:t xml:space="preserve">Putri, D. S. I., &amp; </w:t>
      </w:r>
      <w:proofErr w:type="spellStart"/>
      <w:r w:rsidRPr="006727A2">
        <w:rPr>
          <w:bCs/>
          <w:lang w:val="en-US"/>
        </w:rPr>
        <w:t>Turaqulov</w:t>
      </w:r>
      <w:proofErr w:type="spellEnd"/>
      <w:r w:rsidRPr="006727A2">
        <w:rPr>
          <w:bCs/>
          <w:lang w:val="en-US"/>
        </w:rPr>
        <w:t xml:space="preserve">, B. T. (2022). Harmonizing tradition, science, and STEM </w:t>
      </w:r>
      <w:r>
        <w:rPr>
          <w:bCs/>
          <w:lang w:val="en-US"/>
        </w:rPr>
        <w:t>l</w:t>
      </w:r>
      <w:r w:rsidRPr="006727A2">
        <w:rPr>
          <w:bCs/>
          <w:lang w:val="en-US"/>
        </w:rPr>
        <w:t>earning: Empowering students’ creative minds with sound waves and local wisdom. </w:t>
      </w:r>
      <w:r w:rsidRPr="006727A2">
        <w:rPr>
          <w:bCs/>
          <w:i/>
          <w:iCs/>
          <w:lang w:val="en-US"/>
        </w:rPr>
        <w:t>Schrödinger: Journal of Physics Education</w:t>
      </w:r>
      <w:r w:rsidRPr="006727A2">
        <w:rPr>
          <w:bCs/>
          <w:lang w:val="en-US"/>
        </w:rPr>
        <w:t>, </w:t>
      </w:r>
      <w:r w:rsidRPr="006727A2">
        <w:rPr>
          <w:bCs/>
          <w:i/>
          <w:iCs/>
          <w:lang w:val="en-US"/>
        </w:rPr>
        <w:t>3</w:t>
      </w:r>
      <w:r w:rsidRPr="006727A2">
        <w:rPr>
          <w:bCs/>
          <w:lang w:val="en-US"/>
        </w:rPr>
        <w:t xml:space="preserve">(4), 90-98. </w:t>
      </w:r>
      <w:hyperlink r:id="rId21" w:history="1">
        <w:r w:rsidRPr="00AF6D23">
          <w:rPr>
            <w:rStyle w:val="Hyperlink"/>
            <w:bCs/>
            <w:lang w:val="en-US"/>
          </w:rPr>
          <w:t>https://doi.org/10.37251/sjpe.v3i4.916</w:t>
        </w:r>
      </w:hyperlink>
      <w:r>
        <w:rPr>
          <w:bCs/>
          <w:lang w:val="en-US"/>
        </w:rPr>
        <w:t xml:space="preserve"> </w:t>
      </w:r>
    </w:p>
    <w:p w14:paraId="217BF253" w14:textId="34719BD4" w:rsidR="00A4630F" w:rsidRDefault="00A4630F" w:rsidP="00A4630F">
      <w:pPr>
        <w:pStyle w:val="E-JournalDaftarPustaka"/>
        <w:spacing w:before="120" w:after="120"/>
        <w:rPr>
          <w:bCs/>
        </w:rPr>
      </w:pPr>
      <w:r w:rsidRPr="005C2782">
        <w:rPr>
          <w:bCs/>
        </w:rPr>
        <w:t xml:space="preserve">Sarnoko, S., Asrowi, A., Gunarhadi, G., &amp; Usodo, B. (2024). An analysis of the application of problem-based learning (PBL) model in mathematics for elementary school students. </w:t>
      </w:r>
      <w:r w:rsidRPr="006727A2">
        <w:rPr>
          <w:bCs/>
          <w:i/>
          <w:iCs/>
        </w:rPr>
        <w:t>Jurnal Ilmiah Ilmu Terapan Universitas Jambi, 8</w:t>
      </w:r>
      <w:r w:rsidRPr="005C2782">
        <w:rPr>
          <w:bCs/>
        </w:rPr>
        <w:t xml:space="preserve">(1), 188-202. </w:t>
      </w:r>
      <w:r>
        <w:rPr>
          <w:bCs/>
        </w:rPr>
        <w:fldChar w:fldCharType="begin"/>
      </w:r>
      <w:r>
        <w:rPr>
          <w:bCs/>
        </w:rPr>
        <w:instrText>HYPERLINK "</w:instrText>
      </w:r>
      <w:r w:rsidRPr="005C2782">
        <w:rPr>
          <w:bCs/>
        </w:rPr>
        <w:instrText>https://doi.org/10.22437/jiituj.v8i1.32057</w:instrText>
      </w:r>
      <w:r>
        <w:rPr>
          <w:bCs/>
        </w:rPr>
        <w:instrText>"</w:instrText>
      </w:r>
      <w:r>
        <w:rPr>
          <w:bCs/>
        </w:rPr>
      </w:r>
      <w:r>
        <w:rPr>
          <w:bCs/>
        </w:rPr>
        <w:fldChar w:fldCharType="separate"/>
      </w:r>
      <w:r w:rsidRPr="000674CB">
        <w:rPr>
          <w:rStyle w:val="Hyperlink"/>
          <w:bCs/>
        </w:rPr>
        <w:t>https://doi.org/10.22437/jiituj.v8i1.32057</w:t>
      </w:r>
      <w:r>
        <w:rPr>
          <w:bCs/>
        </w:rPr>
        <w:fldChar w:fldCharType="end"/>
      </w:r>
    </w:p>
    <w:p w14:paraId="3702226F" w14:textId="22A7211B" w:rsidR="006160C3" w:rsidRPr="00A4630F" w:rsidRDefault="00A4630F" w:rsidP="00A4630F">
      <w:pPr>
        <w:pStyle w:val="E-JournalDaftarPustaka"/>
        <w:spacing w:before="120" w:after="120"/>
        <w:rPr>
          <w:bCs/>
          <w:lang w:val="en-PH"/>
        </w:rPr>
      </w:pPr>
      <w:r w:rsidRPr="000537A8">
        <w:rPr>
          <w:bCs/>
          <w:lang w:val="en-PH"/>
        </w:rPr>
        <w:t xml:space="preserve">Van </w:t>
      </w:r>
      <w:proofErr w:type="spellStart"/>
      <w:r w:rsidRPr="000537A8">
        <w:rPr>
          <w:bCs/>
          <w:lang w:val="en-PH"/>
        </w:rPr>
        <w:t>Vaerenbergh</w:t>
      </w:r>
      <w:proofErr w:type="spellEnd"/>
      <w:r w:rsidRPr="000537A8">
        <w:rPr>
          <w:bCs/>
          <w:lang w:val="en-PH"/>
        </w:rPr>
        <w:t>, S., Pérez-</w:t>
      </w:r>
      <w:proofErr w:type="spellStart"/>
      <w:r w:rsidRPr="000537A8">
        <w:rPr>
          <w:bCs/>
          <w:lang w:val="en-PH"/>
        </w:rPr>
        <w:t>Suay</w:t>
      </w:r>
      <w:proofErr w:type="spellEnd"/>
      <w:r w:rsidRPr="000537A8">
        <w:rPr>
          <w:bCs/>
          <w:lang w:val="en-PH"/>
        </w:rPr>
        <w:t xml:space="preserve">, A. (2022). A Classification of Artificial Intelligence Systems for Mathematics Education. In: Richard, P.R., Vélez, M.P., Van </w:t>
      </w:r>
      <w:proofErr w:type="spellStart"/>
      <w:r w:rsidRPr="000537A8">
        <w:rPr>
          <w:bCs/>
          <w:lang w:val="en-PH"/>
        </w:rPr>
        <w:t>Vaerenbergh</w:t>
      </w:r>
      <w:proofErr w:type="spellEnd"/>
      <w:r w:rsidRPr="000537A8">
        <w:rPr>
          <w:bCs/>
          <w:lang w:val="en-PH"/>
        </w:rPr>
        <w:t xml:space="preserve">, S. (eds) Mathematics Education in the Age of Artificial Intelligence. </w:t>
      </w:r>
      <w:r w:rsidRPr="006727A2">
        <w:rPr>
          <w:bCs/>
          <w:i/>
          <w:iCs/>
          <w:lang w:val="en-PH"/>
        </w:rPr>
        <w:t>Mathematics Education in the Digital Era</w:t>
      </w:r>
      <w:r w:rsidRPr="000537A8">
        <w:rPr>
          <w:bCs/>
          <w:lang w:val="en-PH"/>
        </w:rPr>
        <w:t xml:space="preserve">, </w:t>
      </w:r>
      <w:r w:rsidRPr="006727A2">
        <w:rPr>
          <w:bCs/>
          <w:i/>
          <w:iCs/>
          <w:lang w:val="en-PH"/>
        </w:rPr>
        <w:t>17</w:t>
      </w:r>
      <w:r w:rsidRPr="000537A8">
        <w:rPr>
          <w:bCs/>
          <w:lang w:val="en-PH"/>
        </w:rPr>
        <w:t xml:space="preserve">. Springer, Cham. </w:t>
      </w:r>
      <w:hyperlink r:id="rId22" w:history="1">
        <w:r w:rsidRPr="000674CB">
          <w:rPr>
            <w:rStyle w:val="Hyperlink"/>
            <w:bCs/>
            <w:lang w:val="en-PH"/>
          </w:rPr>
          <w:t>https://doi.org/10.1007/978-3-030-86909-0_5</w:t>
        </w:r>
      </w:hyperlink>
    </w:p>
    <w:sectPr w:rsidR="006160C3" w:rsidRPr="00A4630F" w:rsidSect="00703252">
      <w:headerReference w:type="even" r:id="rId23"/>
      <w:headerReference w:type="default" r:id="rId24"/>
      <w:footerReference w:type="even" r:id="rId25"/>
      <w:footerReference w:type="default" r:id="rId26"/>
      <w:headerReference w:type="first" r:id="rId27"/>
      <w:footerReference w:type="first" r:id="rId28"/>
      <w:pgSz w:w="11907" w:h="16840" w:code="9"/>
      <w:pgMar w:top="772" w:right="1355" w:bottom="1355" w:left="1355"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CFED7" w14:textId="77777777" w:rsidR="00CB0BE3" w:rsidRDefault="00CB0BE3" w:rsidP="0082778E">
      <w:pPr>
        <w:spacing w:after="0" w:line="240" w:lineRule="auto"/>
      </w:pPr>
      <w:r>
        <w:separator/>
      </w:r>
    </w:p>
  </w:endnote>
  <w:endnote w:type="continuationSeparator" w:id="0">
    <w:p w14:paraId="51D2C845" w14:textId="77777777" w:rsidR="00CB0BE3" w:rsidRDefault="00CB0BE3" w:rsidP="0082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C3C7" w14:textId="22C72B1D" w:rsidR="00F21E16" w:rsidRPr="00057A19" w:rsidRDefault="00000000" w:rsidP="00F21E16">
    <w:pPr>
      <w:pStyle w:val="Footer"/>
      <w:ind w:firstLine="4320"/>
      <w:rPr>
        <w:rFonts w:ascii="Times New Roman" w:hAnsi="Times New Roman"/>
        <w:sz w:val="24"/>
        <w:szCs w:val="24"/>
      </w:rPr>
    </w:pPr>
    <w:r>
      <w:rPr>
        <w:noProof/>
      </w:rPr>
      <w:pict w14:anchorId="0ACE9A8D">
        <v:line id="_x0000_s1050" style="position:absolute;left:0;text-align:left;z-index:251666944;visibility:visible;mso-wrap-distance-top:-8e-5mm;mso-wrap-distance-bottom:-8e-5mm;mso-position-horizontal-relative:text;mso-position-vertical-relative:text" from="-1pt,.1pt" to="456.5pt,.1pt" strokecolor="#70ad47 [3209]" strokeweight="3pt">
          <v:stroke linestyle="thinThick"/>
          <o:lock v:ext="edit" shapetype="f"/>
        </v:line>
      </w:pic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6166D719" w14:textId="77777777" w:rsidR="00F21E16" w:rsidRDefault="00F2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CF0F" w14:textId="3173D696" w:rsidR="007C3B9F" w:rsidRPr="00057A19" w:rsidRDefault="00000000" w:rsidP="00F21E16">
    <w:pPr>
      <w:pStyle w:val="Footer"/>
      <w:ind w:firstLine="4320"/>
      <w:rPr>
        <w:rFonts w:ascii="Times New Roman" w:hAnsi="Times New Roman"/>
        <w:sz w:val="24"/>
        <w:szCs w:val="24"/>
      </w:rPr>
    </w:pPr>
    <w:r>
      <w:rPr>
        <w:noProof/>
      </w:rPr>
      <w:pict w14:anchorId="6C221822">
        <v:line id="Straight Connector 3" o:spid="_x0000_s1027" style="position:absolute;left:0;text-align:left;z-index:251656704;visibility:visible;mso-wrap-distance-top:-8e-5mm;mso-wrap-distance-bottom:-8e-5mm;mso-position-horizontal-relative:text;mso-position-vertical-relative:text" from="-1pt,.1pt" to="456.5pt,.1pt" strokecolor="#70ad47 [3209]" strokeweight="3pt">
          <v:stroke linestyle="thinThick"/>
          <o:lock v:ext="edit" shapetype="f"/>
        </v:line>
      </w:pict>
    </w:r>
    <w:r w:rsidR="007C3B9F">
      <w:rPr>
        <w:rFonts w:ascii="Times New Roman" w:hAnsi="Times New Roman"/>
        <w:sz w:val="24"/>
        <w:szCs w:val="24"/>
      </w:rPr>
      <w:t xml:space="preserve">                                                          </w:t>
    </w:r>
    <w:r w:rsidR="003F7A97">
      <w:rPr>
        <w:rFonts w:ascii="Times New Roman" w:hAnsi="Times New Roman"/>
        <w:sz w:val="24"/>
        <w:szCs w:val="24"/>
      </w:rPr>
      <w:tab/>
      <w:t>Page</w:t>
    </w:r>
    <w:r w:rsidR="007C3B9F" w:rsidRPr="00057A19">
      <w:rPr>
        <w:rFonts w:ascii="Times New Roman" w:hAnsi="Times New Roman"/>
        <w:sz w:val="24"/>
        <w:szCs w:val="24"/>
      </w:rPr>
      <w:t xml:space="preserve"> | </w:t>
    </w:r>
    <w:r w:rsidR="007C3B9F" w:rsidRPr="00057A19">
      <w:rPr>
        <w:rFonts w:ascii="Times New Roman" w:hAnsi="Times New Roman"/>
        <w:sz w:val="24"/>
        <w:szCs w:val="24"/>
      </w:rPr>
      <w:fldChar w:fldCharType="begin"/>
    </w:r>
    <w:r w:rsidR="007C3B9F" w:rsidRPr="00057A19">
      <w:rPr>
        <w:rFonts w:ascii="Times New Roman" w:hAnsi="Times New Roman"/>
        <w:sz w:val="24"/>
        <w:szCs w:val="24"/>
      </w:rPr>
      <w:instrText xml:space="preserve"> PAGE   \* MERGEFORMAT </w:instrText>
    </w:r>
    <w:r w:rsidR="007C3B9F" w:rsidRPr="00057A19">
      <w:rPr>
        <w:rFonts w:ascii="Times New Roman" w:hAnsi="Times New Roman"/>
        <w:sz w:val="24"/>
        <w:szCs w:val="24"/>
      </w:rPr>
      <w:fldChar w:fldCharType="separate"/>
    </w:r>
    <w:r w:rsidR="000D5B48">
      <w:rPr>
        <w:rFonts w:ascii="Times New Roman" w:hAnsi="Times New Roman"/>
        <w:noProof/>
        <w:sz w:val="24"/>
        <w:szCs w:val="24"/>
      </w:rPr>
      <w:t>16</w:t>
    </w:r>
    <w:r w:rsidR="007C3B9F" w:rsidRPr="00057A19">
      <w:rPr>
        <w:rFonts w:ascii="Times New Roman" w:hAnsi="Times New Roman"/>
        <w:sz w:val="24"/>
        <w:szCs w:val="24"/>
      </w:rPr>
      <w:fldChar w:fldCharType="end"/>
    </w:r>
    <w:r w:rsidR="007C3B9F" w:rsidRPr="00057A19">
      <w:rPr>
        <w:rFonts w:ascii="Times New Roman" w:hAnsi="Times New Roman"/>
        <w:sz w:val="24"/>
        <w:szCs w:val="24"/>
      </w:rPr>
      <w:t xml:space="preserve"> </w:t>
    </w:r>
  </w:p>
  <w:p w14:paraId="10BC6D30" w14:textId="77777777" w:rsidR="007C3B9F" w:rsidRDefault="007C3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94AF" w14:textId="2F3AD67D" w:rsidR="00F21E16" w:rsidRPr="00057A19" w:rsidRDefault="00000000" w:rsidP="00F21E16">
    <w:pPr>
      <w:pStyle w:val="Footer"/>
      <w:ind w:firstLine="4320"/>
      <w:rPr>
        <w:rFonts w:ascii="Times New Roman" w:hAnsi="Times New Roman"/>
        <w:sz w:val="24"/>
        <w:szCs w:val="24"/>
      </w:rPr>
    </w:pPr>
    <w:r>
      <w:rPr>
        <w:noProof/>
      </w:rPr>
      <w:pict w14:anchorId="656277BE">
        <v:line id="_x0000_s1051" style="position:absolute;left:0;text-align:left;z-index:251668992;visibility:visible;mso-wrap-distance-top:-8e-5mm;mso-wrap-distance-bottom:-8e-5mm;mso-position-horizontal-relative:text;mso-position-vertical-relative:text" from="-1pt,.1pt" to="456.5pt,.1pt" strokecolor="#70ad47 [3209]" strokeweight="3pt">
          <v:stroke linestyle="thinThick"/>
          <o:lock v:ext="edit" shapetype="f"/>
        </v:line>
      </w:pic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3AED009B" w14:textId="77777777" w:rsidR="00F21E16" w:rsidRDefault="00F21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76936" w14:textId="77777777" w:rsidR="00CB0BE3" w:rsidRDefault="00CB0BE3" w:rsidP="0082778E">
      <w:pPr>
        <w:spacing w:after="0" w:line="240" w:lineRule="auto"/>
      </w:pPr>
      <w:r>
        <w:separator/>
      </w:r>
    </w:p>
  </w:footnote>
  <w:footnote w:type="continuationSeparator" w:id="0">
    <w:p w14:paraId="67119131" w14:textId="77777777" w:rsidR="00CB0BE3" w:rsidRDefault="00CB0BE3" w:rsidP="0082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C858" w14:textId="5532D75A" w:rsidR="00F21E16" w:rsidRPr="00F21E16" w:rsidRDefault="0064284A" w:rsidP="00F21E16">
    <w:pPr>
      <w:pStyle w:val="Header"/>
      <w:tabs>
        <w:tab w:val="clear" w:pos="4513"/>
        <w:tab w:val="clear" w:pos="9026"/>
      </w:tabs>
      <w:rPr>
        <w:rFonts w:ascii="Times New Roman" w:hAnsi="Times New Roman"/>
      </w:rPr>
    </w:pPr>
    <w:r>
      <w:rPr>
        <w:noProof/>
      </w:rPr>
      <w:pict w14:anchorId="3577E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7157" o:spid="_x0000_s1056" type="#_x0000_t136" style="position:absolute;margin-left:0;margin-top:0;width:463.1pt;height:185.25pt;rotation:315;z-index:-251641344;mso-position-horizontal:center;mso-position-horizontal-relative:margin;mso-position-vertical:center;mso-position-vertical-relative:margin" o:allowincell="f" fillcolor="silver" stroked="f">
          <v:fill opacity=".5"/>
          <v:textpath style="font-family:&quot;Times New Roman&quot;;font-size:1pt" string="DRAFT"/>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7B049A33" w14:textId="23EC909F" w:rsidR="00F21E16" w:rsidRDefault="00000000" w:rsidP="00F21E16">
    <w:pPr>
      <w:pStyle w:val="Header"/>
      <w:tabs>
        <w:tab w:val="left" w:pos="3631"/>
      </w:tabs>
    </w:pPr>
    <w:r>
      <w:rPr>
        <w:noProof/>
      </w:rPr>
      <w:pict w14:anchorId="1A9C9138">
        <v:shapetype id="_x0000_t32" coordsize="21600,21600" o:spt="32" o:oned="t" path="m,l21600,21600e" filled="f">
          <v:path arrowok="t" fillok="f" o:connecttype="none"/>
          <o:lock v:ext="edit" shapetype="t"/>
        </v:shapetype>
        <v:shape id="_x0000_s1052" type="#_x0000_t32" style="position:absolute;margin-left:-1pt;margin-top:6.75pt;width:461.5pt;height:0;z-index:251671040" o:connectortype="straight" strokecolor="#70ad47 [3209]" strokeweight="3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BC71" w14:textId="29423AE1" w:rsidR="00F21E16" w:rsidRPr="00F21E16" w:rsidRDefault="0064284A" w:rsidP="00F21E16">
    <w:pPr>
      <w:pStyle w:val="Header"/>
      <w:tabs>
        <w:tab w:val="clear" w:pos="4513"/>
        <w:tab w:val="clear" w:pos="9026"/>
      </w:tabs>
      <w:jc w:val="right"/>
      <w:rPr>
        <w:rFonts w:ascii="Times New Roman" w:hAnsi="Times New Roman"/>
      </w:rPr>
    </w:pPr>
    <w:r>
      <w:rPr>
        <w:noProof/>
      </w:rPr>
      <w:pict w14:anchorId="4560A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7158" o:spid="_x0000_s1057" type="#_x0000_t136" style="position:absolute;left:0;text-align:left;margin-left:0;margin-top:0;width:463.1pt;height:185.25pt;rotation:315;z-index:-251639296;mso-position-horizontal:center;mso-position-horizontal-relative:margin;mso-position-vertical:center;mso-position-vertical-relative:margin" o:allowincell="f" fillcolor="silver" stroked="f">
          <v:fill opacity=".5"/>
          <v:textpath style="font-family:&quot;Times New Roman&quot;;font-size:1pt" string="DRAFT"/>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193AD890" w14:textId="318CBD31" w:rsidR="007C3B9F" w:rsidRPr="0057448B" w:rsidRDefault="00000000" w:rsidP="00236F12">
    <w:pPr>
      <w:pStyle w:val="Header"/>
      <w:tabs>
        <w:tab w:val="left" w:pos="3631"/>
      </w:tabs>
    </w:pPr>
    <w:r>
      <w:rPr>
        <w:noProof/>
      </w:rPr>
      <w:pict w14:anchorId="18969AC6">
        <v:shapetype id="_x0000_t32" coordsize="21600,21600" o:spt="32" o:oned="t" path="m,l21600,21600e" filled="f">
          <v:path arrowok="t" fillok="f" o:connecttype="none"/>
          <o:lock v:ext="edit" shapetype="t"/>
        </v:shapetype>
        <v:shape id="_x0000_s1042" type="#_x0000_t32" style="position:absolute;margin-left:-1pt;margin-top:6.75pt;width:461.5pt;height:0;z-index:251664896" o:connectortype="straight" strokecolor="#70ad47 [3209]" strokeweight="3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5300" w14:textId="63BF6DEB" w:rsidR="00FB7986" w:rsidRDefault="0064284A" w:rsidP="00FB7986">
    <w:pPr>
      <w:pStyle w:val="Header"/>
      <w:tabs>
        <w:tab w:val="clear" w:pos="9026"/>
        <w:tab w:val="right" w:pos="9197"/>
      </w:tabs>
      <w:rPr>
        <w:rFonts w:ascii="Times New Roman" w:hAnsi="Times New Roman"/>
      </w:rPr>
    </w:pPr>
    <w:r>
      <w:rPr>
        <w:noProof/>
      </w:rPr>
      <w:pict w14:anchorId="66A1A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7156" o:spid="_x0000_s1055" type="#_x0000_t136" style="position:absolute;margin-left:0;margin-top:0;width:463.1pt;height:185.25pt;rotation:315;z-index:-251643392;mso-position-horizontal:center;mso-position-horizontal-relative:margin;mso-position-vertical:center;mso-position-vertical-relative:margin" o:allowincell="f" fillcolor="silver" stroked="f">
          <v:fill opacity=".5"/>
          <v:textpath style="font-family:&quot;Times New Roman&quot;;font-size:1pt" string="DRAFT"/>
        </v:shape>
      </w:pict>
    </w:r>
    <w:r w:rsidR="00000000">
      <w:rPr>
        <w:rFonts w:ascii="Times New Roman" w:hAnsi="Times New Roman"/>
      </w:rPr>
    </w:r>
    <w:r w:rsidR="00000000">
      <w:rPr>
        <w:rFonts w:ascii="Times New Roman" w:hAnsi="Times New Roman"/>
      </w:rPr>
      <w:pict w14:anchorId="3A26FAF1">
        <v:shapetype id="_x0000_t202" coordsize="21600,21600" o:spt="202" path="m,l,21600r21600,l21600,xe">
          <v:stroke joinstyle="miter"/>
          <v:path gradientshapeok="t" o:connecttype="rect"/>
        </v:shapetype>
        <v:shape id="_x0000_s1053" type="#_x0000_t202" style="width:94.5pt;height:19.5pt;mso-left-percent:-10001;mso-top-percent:-10001;mso-position-horizontal:absolute;mso-position-horizontal-relative:char;mso-position-vertical:absolute;mso-position-vertical-relative:line;mso-left-percent:-10001;mso-top-percent:-10001" fillcolor="#70ad47 [3209]" stroked="f" strokecolor="#f2f2f2 [3041]" strokeweight="3pt">
          <v:shadow type="perspective" color="#375623 [1609]" opacity=".5" offset="1pt" offset2="-1pt"/>
          <v:textbox style="mso-next-textbox:#_x0000_s1053">
            <w:txbxContent>
              <w:p w14:paraId="0475CBB7"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v:textbox>
          <w10:wrap type="none"/>
          <w10:anchorlock/>
        </v:shape>
      </w:pict>
    </w:r>
  </w:p>
  <w:p w14:paraId="42475ED0" w14:textId="77777777" w:rsidR="003058D0" w:rsidRDefault="00FB7986" w:rsidP="00FB7986">
    <w:pPr>
      <w:pStyle w:val="Header"/>
      <w:tabs>
        <w:tab w:val="clear" w:pos="9026"/>
        <w:tab w:val="right" w:pos="9197"/>
      </w:tabs>
      <w:rPr>
        <w:rFonts w:ascii="Times New Roman" w:hAnsi="Times New Roman"/>
      </w:rPr>
    </w:pPr>
    <w:proofErr w:type="spellStart"/>
    <w:r w:rsidRPr="00CE2F30">
      <w:rPr>
        <w:rFonts w:ascii="Times New Roman" w:hAnsi="Times New Roman"/>
      </w:rPr>
      <w:t>Jurnal</w:t>
    </w:r>
    <w:proofErr w:type="spellEnd"/>
    <w:r w:rsidRPr="00CE2F30">
      <w:rPr>
        <w:rFonts w:ascii="Times New Roman" w:hAnsi="Times New Roman"/>
      </w:rPr>
      <w:t xml:space="preserve"> </w:t>
    </w:r>
    <w:proofErr w:type="spellStart"/>
    <w:r w:rsidRPr="00CE2F30">
      <w:rPr>
        <w:rFonts w:ascii="Times New Roman" w:hAnsi="Times New Roman"/>
      </w:rPr>
      <w:t>Ilmiah</w:t>
    </w:r>
    <w:proofErr w:type="spellEnd"/>
    <w:r w:rsidRPr="00CE2F30">
      <w:rPr>
        <w:rFonts w:ascii="Times New Roman" w:hAnsi="Times New Roman"/>
      </w:rPr>
      <w:t xml:space="preserve"> </w:t>
    </w:r>
    <w:proofErr w:type="spellStart"/>
    <w:r w:rsidRPr="00CE2F30">
      <w:rPr>
        <w:rFonts w:ascii="Times New Roman" w:hAnsi="Times New Roman"/>
      </w:rPr>
      <w:t>Ilmu</w:t>
    </w:r>
    <w:proofErr w:type="spellEnd"/>
    <w:r w:rsidRPr="00CE2F30">
      <w:rPr>
        <w:rFonts w:ascii="Times New Roman" w:hAnsi="Times New Roman"/>
      </w:rPr>
      <w:t xml:space="preserve"> </w:t>
    </w:r>
    <w:proofErr w:type="spellStart"/>
    <w:r w:rsidRPr="00CE2F30">
      <w:rPr>
        <w:rFonts w:ascii="Times New Roman" w:hAnsi="Times New Roman"/>
      </w:rPr>
      <w:t>Terapan</w:t>
    </w:r>
    <w:proofErr w:type="spellEnd"/>
    <w:r w:rsidRPr="00CE2F30">
      <w:rPr>
        <w:rFonts w:ascii="Times New Roman" w:hAnsi="Times New Roman"/>
      </w:rPr>
      <w:t xml:space="preserve"> Universitas Jambi</w:t>
    </w:r>
  </w:p>
  <w:p w14:paraId="0E6880CB" w14:textId="56F433EC" w:rsidR="003058D0" w:rsidRDefault="003058D0" w:rsidP="003058D0">
    <w:pPr>
      <w:pStyle w:val="Header"/>
      <w:tabs>
        <w:tab w:val="clear" w:pos="9026"/>
        <w:tab w:val="right" w:pos="9197"/>
      </w:tabs>
      <w:spacing w:line="276" w:lineRule="auto"/>
      <w:rPr>
        <w:rFonts w:ascii="Times New Roman" w:hAnsi="Times New Roman"/>
      </w:rPr>
    </w:pPr>
    <w:r w:rsidRPr="00CE2F30">
      <w:rPr>
        <w:rFonts w:ascii="Times New Roman" w:hAnsi="Times New Roman"/>
      </w:rPr>
      <w:t>Vol. x No. x. Jun</w:t>
    </w:r>
    <w:r w:rsidR="005D0772">
      <w:rPr>
        <w:rFonts w:ascii="Times New Roman" w:hAnsi="Times New Roman"/>
      </w:rPr>
      <w:t>e</w:t>
    </w:r>
    <w:r w:rsidRPr="00CE2F30">
      <w:rPr>
        <w:rFonts w:ascii="Times New Roman" w:hAnsi="Times New Roman"/>
      </w:rPr>
      <w:t xml:space="preserve"> 20xx, pp. xx-xx</w:t>
    </w:r>
    <w:r>
      <w:rPr>
        <w:rFonts w:ascii="Times New Roman" w:hAnsi="Times New Roman"/>
      </w:rPr>
      <w:tab/>
    </w:r>
    <w:r>
      <w:rPr>
        <w:rFonts w:ascii="Times New Roman" w:hAnsi="Times New Roman"/>
      </w:rPr>
      <w:tab/>
    </w:r>
    <w:r w:rsidRPr="00CE2F30">
      <w:rPr>
        <w:rFonts w:ascii="Times New Roman" w:hAnsi="Times New Roman"/>
      </w:rPr>
      <w:t>DOI. 10.22437/</w:t>
    </w:r>
    <w:proofErr w:type="spellStart"/>
    <w:r w:rsidRPr="00CE2F30">
      <w:rPr>
        <w:rFonts w:ascii="Times New Roman" w:hAnsi="Times New Roman"/>
      </w:rPr>
      <w:t>jiituj.vxix.xxx</w:t>
    </w:r>
    <w:proofErr w:type="spellEnd"/>
  </w:p>
  <w:p w14:paraId="580B5230" w14:textId="3D2B5189" w:rsidR="003058D0" w:rsidRDefault="00000000" w:rsidP="003058D0">
    <w:pPr>
      <w:pStyle w:val="Header"/>
      <w:tabs>
        <w:tab w:val="clear" w:pos="9026"/>
        <w:tab w:val="right" w:pos="9197"/>
      </w:tabs>
      <w:rPr>
        <w:rFonts w:ascii="Times New Roman" w:hAnsi="Times New Roman"/>
      </w:rPr>
    </w:pPr>
    <w:r>
      <w:rPr>
        <w:rFonts w:ascii="Times New Roman" w:hAnsi="Times New Roman"/>
        <w:noProof/>
      </w:rPr>
      <w:pict w14:anchorId="4023460C">
        <v:group id="_x0000_s1043" style="position:absolute;margin-left:.25pt;margin-top:2.8pt;width:461.5pt;height:22.5pt;z-index:251660800" coordorigin="1360,1710" coordsize="9230,450">
          <v:shapetype id="_x0000_t32" coordsize="21600,21600" o:spt="32" o:oned="t" path="m,l21600,21600e" filled="f">
            <v:path arrowok="t" fillok="f" o:connecttype="none"/>
            <o:lock v:ext="edit" shapetype="t"/>
          </v:shapetype>
          <v:shape id="_x0000_s1032" type="#_x0000_t32" style="position:absolute;left:1360;top:1710;width:9230;height:0" o:connectortype="straight" strokecolor="#70ad47 [3209]" strokeweight="3pt"/>
          <v:rect id="_x0000_s1033" style="position:absolute;left:8685;top:1710;width:1905;height:450;mso-position-horizontal:center;mso-position-horizontal-relative:margin" fillcolor="#70ad47 [3209]" stroked="f">
            <v:textbox style="mso-next-textbox:#_x0000_s1033">
              <w:txbxContent>
                <w:p w14:paraId="68CE4043" w14:textId="2913EF11"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v:textbox>
          </v:rect>
          <w10:wrap anchorx="margin"/>
        </v:group>
      </w:pict>
    </w:r>
  </w:p>
  <w:p w14:paraId="5530F187" w14:textId="0D65EA77" w:rsidR="003058D0" w:rsidRDefault="00FB7986" w:rsidP="003058D0">
    <w:pPr>
      <w:pStyle w:val="Header"/>
      <w:tabs>
        <w:tab w:val="clear" w:pos="4513"/>
        <w:tab w:val="clear" w:pos="9026"/>
      </w:tabs>
      <w:rPr>
        <w:rFonts w:ascii="Times New Roman" w:hAnsi="Times New Roman"/>
      </w:rPr>
    </w:pPr>
    <w:r w:rsidRPr="00CE2F30">
      <w:rPr>
        <w:rFonts w:ascii="Times New Roman" w:hAnsi="Times New Roman"/>
      </w:rPr>
      <w:t xml:space="preserve"> </w:t>
    </w:r>
  </w:p>
  <w:p w14:paraId="00B323CF" w14:textId="77777777" w:rsidR="00F860A5" w:rsidRPr="00F860A5" w:rsidRDefault="00F860A5" w:rsidP="003058D0">
    <w:pPr>
      <w:pStyle w:val="Header"/>
      <w:tabs>
        <w:tab w:val="clear" w:pos="4513"/>
        <w:tab w:val="clear" w:pos="9026"/>
      </w:tabs>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77E"/>
    <w:multiLevelType w:val="multilevel"/>
    <w:tmpl w:val="938864B2"/>
    <w:lvl w:ilvl="0">
      <w:start w:val="2"/>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D2A2CAA"/>
    <w:multiLevelType w:val="multilevel"/>
    <w:tmpl w:val="8362D2A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F2A7BD3"/>
    <w:multiLevelType w:val="hybridMultilevel"/>
    <w:tmpl w:val="648A6ABE"/>
    <w:lvl w:ilvl="0" w:tplc="656EA64C">
      <w:start w:val="12"/>
      <w:numFmt w:val="decimal"/>
      <w:lvlText w:val="%1."/>
      <w:lvlJc w:val="left"/>
      <w:pPr>
        <w:ind w:hanging="360"/>
      </w:pPr>
      <w:rPr>
        <w:rFonts w:ascii="Times New Roman" w:eastAsia="Times New Roman" w:hAnsi="Times New Roman" w:hint="default"/>
        <w:sz w:val="24"/>
        <w:szCs w:val="24"/>
      </w:rPr>
    </w:lvl>
    <w:lvl w:ilvl="1" w:tplc="42C0147A">
      <w:start w:val="1"/>
      <w:numFmt w:val="upperRoman"/>
      <w:lvlText w:val="%2."/>
      <w:lvlJc w:val="left"/>
      <w:pPr>
        <w:ind w:hanging="528"/>
        <w:jc w:val="right"/>
      </w:pPr>
      <w:rPr>
        <w:rFonts w:ascii="Times New Roman" w:eastAsia="Times New Roman" w:hAnsi="Times New Roman" w:hint="default"/>
        <w:b/>
        <w:bCs/>
        <w:sz w:val="28"/>
        <w:szCs w:val="28"/>
      </w:rPr>
    </w:lvl>
    <w:lvl w:ilvl="2" w:tplc="D78CD120">
      <w:start w:val="1"/>
      <w:numFmt w:val="bullet"/>
      <w:lvlText w:val="•"/>
      <w:lvlJc w:val="left"/>
      <w:rPr>
        <w:rFonts w:hint="default"/>
      </w:rPr>
    </w:lvl>
    <w:lvl w:ilvl="3" w:tplc="6D5E5280">
      <w:start w:val="1"/>
      <w:numFmt w:val="bullet"/>
      <w:lvlText w:val="•"/>
      <w:lvlJc w:val="left"/>
      <w:rPr>
        <w:rFonts w:hint="default"/>
      </w:rPr>
    </w:lvl>
    <w:lvl w:ilvl="4" w:tplc="5694DCF0">
      <w:start w:val="1"/>
      <w:numFmt w:val="bullet"/>
      <w:lvlText w:val="•"/>
      <w:lvlJc w:val="left"/>
      <w:rPr>
        <w:rFonts w:hint="default"/>
      </w:rPr>
    </w:lvl>
    <w:lvl w:ilvl="5" w:tplc="5BB8241C">
      <w:start w:val="1"/>
      <w:numFmt w:val="bullet"/>
      <w:lvlText w:val="•"/>
      <w:lvlJc w:val="left"/>
      <w:rPr>
        <w:rFonts w:hint="default"/>
      </w:rPr>
    </w:lvl>
    <w:lvl w:ilvl="6" w:tplc="C9E010AA">
      <w:start w:val="1"/>
      <w:numFmt w:val="bullet"/>
      <w:lvlText w:val="•"/>
      <w:lvlJc w:val="left"/>
      <w:rPr>
        <w:rFonts w:hint="default"/>
      </w:rPr>
    </w:lvl>
    <w:lvl w:ilvl="7" w:tplc="8AC8BA9E">
      <w:start w:val="1"/>
      <w:numFmt w:val="bullet"/>
      <w:lvlText w:val="•"/>
      <w:lvlJc w:val="left"/>
      <w:rPr>
        <w:rFonts w:hint="default"/>
      </w:rPr>
    </w:lvl>
    <w:lvl w:ilvl="8" w:tplc="E20C7752">
      <w:start w:val="1"/>
      <w:numFmt w:val="bullet"/>
      <w:lvlText w:val="•"/>
      <w:lvlJc w:val="left"/>
      <w:rPr>
        <w:rFonts w:hint="default"/>
      </w:rPr>
    </w:lvl>
  </w:abstractNum>
  <w:abstractNum w:abstractNumId="3" w15:restartNumberingAfterBreak="0">
    <w:nsid w:val="10B2281A"/>
    <w:multiLevelType w:val="multilevel"/>
    <w:tmpl w:val="30F2FCF8"/>
    <w:lvl w:ilvl="0">
      <w:start w:val="1"/>
      <w:numFmt w:val="decimal"/>
      <w:lvlText w:val="%1"/>
      <w:lvlJc w:val="left"/>
      <w:pPr>
        <w:ind w:hanging="360"/>
      </w:pPr>
      <w:rPr>
        <w:rFonts w:hint="default"/>
      </w:rPr>
    </w:lvl>
    <w:lvl w:ilvl="1">
      <w:start w:val="2"/>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14343E2C"/>
    <w:multiLevelType w:val="multilevel"/>
    <w:tmpl w:val="1206BF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E221B5B"/>
    <w:multiLevelType w:val="hybridMultilevel"/>
    <w:tmpl w:val="6E08A1B0"/>
    <w:lvl w:ilvl="0" w:tplc="6EE845CE">
      <w:start w:val="1"/>
      <w:numFmt w:val="upperLetter"/>
      <w:lvlText w:val="%1"/>
      <w:lvlJc w:val="left"/>
      <w:pPr>
        <w:ind w:hanging="720"/>
      </w:pPr>
      <w:rPr>
        <w:rFonts w:ascii="Times New Roman" w:eastAsia="Times New Roman" w:hAnsi="Times New Roman" w:hint="default"/>
        <w:b/>
        <w:bCs/>
        <w:sz w:val="24"/>
        <w:szCs w:val="24"/>
      </w:rPr>
    </w:lvl>
    <w:lvl w:ilvl="1" w:tplc="7958B76A">
      <w:start w:val="1"/>
      <w:numFmt w:val="bullet"/>
      <w:lvlText w:val="•"/>
      <w:lvlJc w:val="left"/>
      <w:rPr>
        <w:rFonts w:hint="default"/>
      </w:rPr>
    </w:lvl>
    <w:lvl w:ilvl="2" w:tplc="DB4C7450">
      <w:start w:val="1"/>
      <w:numFmt w:val="bullet"/>
      <w:lvlText w:val="•"/>
      <w:lvlJc w:val="left"/>
      <w:rPr>
        <w:rFonts w:hint="default"/>
      </w:rPr>
    </w:lvl>
    <w:lvl w:ilvl="3" w:tplc="A8068AE2">
      <w:start w:val="1"/>
      <w:numFmt w:val="bullet"/>
      <w:lvlText w:val="•"/>
      <w:lvlJc w:val="left"/>
      <w:rPr>
        <w:rFonts w:hint="default"/>
      </w:rPr>
    </w:lvl>
    <w:lvl w:ilvl="4" w:tplc="6FFC94E0">
      <w:start w:val="1"/>
      <w:numFmt w:val="bullet"/>
      <w:lvlText w:val="•"/>
      <w:lvlJc w:val="left"/>
      <w:rPr>
        <w:rFonts w:hint="default"/>
      </w:rPr>
    </w:lvl>
    <w:lvl w:ilvl="5" w:tplc="C70EFF82">
      <w:start w:val="1"/>
      <w:numFmt w:val="bullet"/>
      <w:lvlText w:val="•"/>
      <w:lvlJc w:val="left"/>
      <w:rPr>
        <w:rFonts w:hint="default"/>
      </w:rPr>
    </w:lvl>
    <w:lvl w:ilvl="6" w:tplc="E590715C">
      <w:start w:val="1"/>
      <w:numFmt w:val="bullet"/>
      <w:lvlText w:val="•"/>
      <w:lvlJc w:val="left"/>
      <w:rPr>
        <w:rFonts w:hint="default"/>
      </w:rPr>
    </w:lvl>
    <w:lvl w:ilvl="7" w:tplc="2F94AE58">
      <w:start w:val="1"/>
      <w:numFmt w:val="bullet"/>
      <w:lvlText w:val="•"/>
      <w:lvlJc w:val="left"/>
      <w:rPr>
        <w:rFonts w:hint="default"/>
      </w:rPr>
    </w:lvl>
    <w:lvl w:ilvl="8" w:tplc="14CEA40C">
      <w:start w:val="1"/>
      <w:numFmt w:val="bullet"/>
      <w:lvlText w:val="•"/>
      <w:lvlJc w:val="left"/>
      <w:rPr>
        <w:rFonts w:hint="default"/>
      </w:rPr>
    </w:lvl>
  </w:abstractNum>
  <w:abstractNum w:abstractNumId="6" w15:restartNumberingAfterBreak="0">
    <w:nsid w:val="34542CA4"/>
    <w:multiLevelType w:val="hybridMultilevel"/>
    <w:tmpl w:val="97BC7044"/>
    <w:lvl w:ilvl="0" w:tplc="44CA4C16">
      <w:start w:val="1"/>
      <w:numFmt w:val="lowerLetter"/>
      <w:lvlText w:val="%1."/>
      <w:lvlJc w:val="left"/>
      <w:pPr>
        <w:ind w:hanging="360"/>
      </w:pPr>
      <w:rPr>
        <w:rFonts w:ascii="Times New Roman" w:eastAsia="Times New Roman" w:hAnsi="Times New Roman" w:hint="default"/>
        <w:spacing w:val="-1"/>
        <w:sz w:val="24"/>
        <w:szCs w:val="24"/>
      </w:rPr>
    </w:lvl>
    <w:lvl w:ilvl="1" w:tplc="753C1760">
      <w:start w:val="1"/>
      <w:numFmt w:val="bullet"/>
      <w:lvlText w:val="•"/>
      <w:lvlJc w:val="left"/>
      <w:rPr>
        <w:rFonts w:hint="default"/>
      </w:rPr>
    </w:lvl>
    <w:lvl w:ilvl="2" w:tplc="2F1C9704">
      <w:start w:val="1"/>
      <w:numFmt w:val="bullet"/>
      <w:lvlText w:val="•"/>
      <w:lvlJc w:val="left"/>
      <w:rPr>
        <w:rFonts w:hint="default"/>
      </w:rPr>
    </w:lvl>
    <w:lvl w:ilvl="3" w:tplc="E8522506">
      <w:start w:val="1"/>
      <w:numFmt w:val="bullet"/>
      <w:lvlText w:val="•"/>
      <w:lvlJc w:val="left"/>
      <w:rPr>
        <w:rFonts w:hint="default"/>
      </w:rPr>
    </w:lvl>
    <w:lvl w:ilvl="4" w:tplc="ADCAA464">
      <w:start w:val="1"/>
      <w:numFmt w:val="bullet"/>
      <w:lvlText w:val="•"/>
      <w:lvlJc w:val="left"/>
      <w:rPr>
        <w:rFonts w:hint="default"/>
      </w:rPr>
    </w:lvl>
    <w:lvl w:ilvl="5" w:tplc="2264D476">
      <w:start w:val="1"/>
      <w:numFmt w:val="bullet"/>
      <w:lvlText w:val="•"/>
      <w:lvlJc w:val="left"/>
      <w:rPr>
        <w:rFonts w:hint="default"/>
      </w:rPr>
    </w:lvl>
    <w:lvl w:ilvl="6" w:tplc="4CD2628A">
      <w:start w:val="1"/>
      <w:numFmt w:val="bullet"/>
      <w:lvlText w:val="•"/>
      <w:lvlJc w:val="left"/>
      <w:rPr>
        <w:rFonts w:hint="default"/>
      </w:rPr>
    </w:lvl>
    <w:lvl w:ilvl="7" w:tplc="C13CBE86">
      <w:start w:val="1"/>
      <w:numFmt w:val="bullet"/>
      <w:lvlText w:val="•"/>
      <w:lvlJc w:val="left"/>
      <w:rPr>
        <w:rFonts w:hint="default"/>
      </w:rPr>
    </w:lvl>
    <w:lvl w:ilvl="8" w:tplc="C4B01402">
      <w:start w:val="1"/>
      <w:numFmt w:val="bullet"/>
      <w:lvlText w:val="•"/>
      <w:lvlJc w:val="left"/>
      <w:rPr>
        <w:rFonts w:hint="default"/>
      </w:rPr>
    </w:lvl>
  </w:abstractNum>
  <w:abstractNum w:abstractNumId="7" w15:restartNumberingAfterBreak="0">
    <w:nsid w:val="35BA578D"/>
    <w:multiLevelType w:val="hybridMultilevel"/>
    <w:tmpl w:val="2996D710"/>
    <w:lvl w:ilvl="0" w:tplc="255E033E">
      <w:start w:val="1"/>
      <w:numFmt w:val="lowerLetter"/>
      <w:lvlText w:val="%1)"/>
      <w:lvlJc w:val="left"/>
      <w:pPr>
        <w:ind w:hanging="360"/>
      </w:pPr>
      <w:rPr>
        <w:rFonts w:ascii="Times New Roman" w:eastAsia="Times New Roman" w:hAnsi="Times New Roman" w:hint="default"/>
        <w:sz w:val="22"/>
        <w:szCs w:val="22"/>
      </w:rPr>
    </w:lvl>
    <w:lvl w:ilvl="1" w:tplc="CAC6B8A6">
      <w:start w:val="1"/>
      <w:numFmt w:val="bullet"/>
      <w:lvlText w:val="•"/>
      <w:lvlJc w:val="left"/>
      <w:rPr>
        <w:rFonts w:hint="default"/>
      </w:rPr>
    </w:lvl>
    <w:lvl w:ilvl="2" w:tplc="29B8CBF4">
      <w:start w:val="1"/>
      <w:numFmt w:val="bullet"/>
      <w:lvlText w:val="•"/>
      <w:lvlJc w:val="left"/>
      <w:rPr>
        <w:rFonts w:hint="default"/>
      </w:rPr>
    </w:lvl>
    <w:lvl w:ilvl="3" w:tplc="06BA59C8">
      <w:start w:val="1"/>
      <w:numFmt w:val="bullet"/>
      <w:lvlText w:val="•"/>
      <w:lvlJc w:val="left"/>
      <w:rPr>
        <w:rFonts w:hint="default"/>
      </w:rPr>
    </w:lvl>
    <w:lvl w:ilvl="4" w:tplc="DE7E0162">
      <w:start w:val="1"/>
      <w:numFmt w:val="bullet"/>
      <w:lvlText w:val="•"/>
      <w:lvlJc w:val="left"/>
      <w:rPr>
        <w:rFonts w:hint="default"/>
      </w:rPr>
    </w:lvl>
    <w:lvl w:ilvl="5" w:tplc="603440D4">
      <w:start w:val="1"/>
      <w:numFmt w:val="bullet"/>
      <w:lvlText w:val="•"/>
      <w:lvlJc w:val="left"/>
      <w:rPr>
        <w:rFonts w:hint="default"/>
      </w:rPr>
    </w:lvl>
    <w:lvl w:ilvl="6" w:tplc="690A24C6">
      <w:start w:val="1"/>
      <w:numFmt w:val="bullet"/>
      <w:lvlText w:val="•"/>
      <w:lvlJc w:val="left"/>
      <w:rPr>
        <w:rFonts w:hint="default"/>
      </w:rPr>
    </w:lvl>
    <w:lvl w:ilvl="7" w:tplc="4B22AA78">
      <w:start w:val="1"/>
      <w:numFmt w:val="bullet"/>
      <w:lvlText w:val="•"/>
      <w:lvlJc w:val="left"/>
      <w:rPr>
        <w:rFonts w:hint="default"/>
      </w:rPr>
    </w:lvl>
    <w:lvl w:ilvl="8" w:tplc="673260E4">
      <w:start w:val="1"/>
      <w:numFmt w:val="bullet"/>
      <w:lvlText w:val="•"/>
      <w:lvlJc w:val="left"/>
      <w:rPr>
        <w:rFonts w:hint="default"/>
      </w:rPr>
    </w:lvl>
  </w:abstractNum>
  <w:abstractNum w:abstractNumId="8" w15:restartNumberingAfterBreak="0">
    <w:nsid w:val="411B64E1"/>
    <w:multiLevelType w:val="hybridMultilevel"/>
    <w:tmpl w:val="D0B8982E"/>
    <w:lvl w:ilvl="0" w:tplc="B35085CC">
      <w:start w:val="1"/>
      <w:numFmt w:val="lowerLetter"/>
      <w:lvlText w:val="%1."/>
      <w:lvlJc w:val="left"/>
      <w:pPr>
        <w:ind w:hanging="360"/>
      </w:pPr>
      <w:rPr>
        <w:rFonts w:ascii="Times New Roman" w:eastAsia="Times New Roman" w:hAnsi="Times New Roman" w:hint="default"/>
        <w:spacing w:val="-1"/>
        <w:sz w:val="24"/>
        <w:szCs w:val="24"/>
      </w:rPr>
    </w:lvl>
    <w:lvl w:ilvl="1" w:tplc="55FE44E6">
      <w:start w:val="1"/>
      <w:numFmt w:val="bullet"/>
      <w:lvlText w:val="•"/>
      <w:lvlJc w:val="left"/>
      <w:rPr>
        <w:rFonts w:hint="default"/>
      </w:rPr>
    </w:lvl>
    <w:lvl w:ilvl="2" w:tplc="A156DAEC">
      <w:start w:val="1"/>
      <w:numFmt w:val="bullet"/>
      <w:lvlText w:val="•"/>
      <w:lvlJc w:val="left"/>
      <w:rPr>
        <w:rFonts w:hint="default"/>
      </w:rPr>
    </w:lvl>
    <w:lvl w:ilvl="3" w:tplc="2DF69190">
      <w:start w:val="1"/>
      <w:numFmt w:val="bullet"/>
      <w:lvlText w:val="•"/>
      <w:lvlJc w:val="left"/>
      <w:rPr>
        <w:rFonts w:hint="default"/>
      </w:rPr>
    </w:lvl>
    <w:lvl w:ilvl="4" w:tplc="DE1463BA">
      <w:start w:val="1"/>
      <w:numFmt w:val="bullet"/>
      <w:lvlText w:val="•"/>
      <w:lvlJc w:val="left"/>
      <w:rPr>
        <w:rFonts w:hint="default"/>
      </w:rPr>
    </w:lvl>
    <w:lvl w:ilvl="5" w:tplc="757464B6">
      <w:start w:val="1"/>
      <w:numFmt w:val="bullet"/>
      <w:lvlText w:val="•"/>
      <w:lvlJc w:val="left"/>
      <w:rPr>
        <w:rFonts w:hint="default"/>
      </w:rPr>
    </w:lvl>
    <w:lvl w:ilvl="6" w:tplc="FF7612D8">
      <w:start w:val="1"/>
      <w:numFmt w:val="bullet"/>
      <w:lvlText w:val="•"/>
      <w:lvlJc w:val="left"/>
      <w:rPr>
        <w:rFonts w:hint="default"/>
      </w:rPr>
    </w:lvl>
    <w:lvl w:ilvl="7" w:tplc="633C7004">
      <w:start w:val="1"/>
      <w:numFmt w:val="bullet"/>
      <w:lvlText w:val="•"/>
      <w:lvlJc w:val="left"/>
      <w:rPr>
        <w:rFonts w:hint="default"/>
      </w:rPr>
    </w:lvl>
    <w:lvl w:ilvl="8" w:tplc="E2240C9A">
      <w:start w:val="1"/>
      <w:numFmt w:val="bullet"/>
      <w:lvlText w:val="•"/>
      <w:lvlJc w:val="left"/>
      <w:rPr>
        <w:rFonts w:hint="default"/>
      </w:rPr>
    </w:lvl>
  </w:abstractNum>
  <w:abstractNum w:abstractNumId="9" w15:restartNumberingAfterBreak="0">
    <w:nsid w:val="45E9373E"/>
    <w:multiLevelType w:val="hybridMultilevel"/>
    <w:tmpl w:val="3A44D460"/>
    <w:lvl w:ilvl="0" w:tplc="3DEAC69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3129B"/>
    <w:multiLevelType w:val="multilevel"/>
    <w:tmpl w:val="77B2676A"/>
    <w:lvl w:ilvl="0">
      <w:start w:val="3"/>
      <w:numFmt w:val="decimal"/>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4A0F6CAB"/>
    <w:multiLevelType w:val="hybridMultilevel"/>
    <w:tmpl w:val="3EB41028"/>
    <w:lvl w:ilvl="0" w:tplc="3D147E62">
      <w:start w:val="1"/>
      <w:numFmt w:val="decimal"/>
      <w:lvlText w:val="%1."/>
      <w:lvlJc w:val="left"/>
      <w:pPr>
        <w:ind w:hanging="207"/>
      </w:pPr>
      <w:rPr>
        <w:rFonts w:ascii="Times New Roman" w:eastAsia="Times New Roman" w:hAnsi="Times New Roman" w:hint="default"/>
        <w:sz w:val="24"/>
        <w:szCs w:val="24"/>
      </w:rPr>
    </w:lvl>
    <w:lvl w:ilvl="1" w:tplc="1B0C1C96">
      <w:start w:val="1"/>
      <w:numFmt w:val="bullet"/>
      <w:lvlText w:val="•"/>
      <w:lvlJc w:val="left"/>
      <w:rPr>
        <w:rFonts w:hint="default"/>
      </w:rPr>
    </w:lvl>
    <w:lvl w:ilvl="2" w:tplc="0F6C28C4">
      <w:start w:val="1"/>
      <w:numFmt w:val="bullet"/>
      <w:lvlText w:val="•"/>
      <w:lvlJc w:val="left"/>
      <w:rPr>
        <w:rFonts w:hint="default"/>
      </w:rPr>
    </w:lvl>
    <w:lvl w:ilvl="3" w:tplc="5EBEFCEE">
      <w:start w:val="1"/>
      <w:numFmt w:val="bullet"/>
      <w:lvlText w:val="•"/>
      <w:lvlJc w:val="left"/>
      <w:rPr>
        <w:rFonts w:hint="default"/>
      </w:rPr>
    </w:lvl>
    <w:lvl w:ilvl="4" w:tplc="FEBE720A">
      <w:start w:val="1"/>
      <w:numFmt w:val="bullet"/>
      <w:lvlText w:val="•"/>
      <w:lvlJc w:val="left"/>
      <w:rPr>
        <w:rFonts w:hint="default"/>
      </w:rPr>
    </w:lvl>
    <w:lvl w:ilvl="5" w:tplc="4C30373E">
      <w:start w:val="1"/>
      <w:numFmt w:val="bullet"/>
      <w:lvlText w:val="•"/>
      <w:lvlJc w:val="left"/>
      <w:rPr>
        <w:rFonts w:hint="default"/>
      </w:rPr>
    </w:lvl>
    <w:lvl w:ilvl="6" w:tplc="CB202568">
      <w:start w:val="1"/>
      <w:numFmt w:val="bullet"/>
      <w:lvlText w:val="•"/>
      <w:lvlJc w:val="left"/>
      <w:rPr>
        <w:rFonts w:hint="default"/>
      </w:rPr>
    </w:lvl>
    <w:lvl w:ilvl="7" w:tplc="7F987398">
      <w:start w:val="1"/>
      <w:numFmt w:val="bullet"/>
      <w:lvlText w:val="•"/>
      <w:lvlJc w:val="left"/>
      <w:rPr>
        <w:rFonts w:hint="default"/>
      </w:rPr>
    </w:lvl>
    <w:lvl w:ilvl="8" w:tplc="E8080198">
      <w:start w:val="1"/>
      <w:numFmt w:val="bullet"/>
      <w:lvlText w:val="•"/>
      <w:lvlJc w:val="left"/>
      <w:rPr>
        <w:rFonts w:hint="default"/>
      </w:rPr>
    </w:lvl>
  </w:abstractNum>
  <w:abstractNum w:abstractNumId="12" w15:restartNumberingAfterBreak="0">
    <w:nsid w:val="55600512"/>
    <w:multiLevelType w:val="hybridMultilevel"/>
    <w:tmpl w:val="57D61FC0"/>
    <w:lvl w:ilvl="0" w:tplc="5D4811AA">
      <w:start w:val="1"/>
      <w:numFmt w:val="lowerLetter"/>
      <w:lvlText w:val="%1."/>
      <w:lvlJc w:val="left"/>
      <w:pPr>
        <w:ind w:hanging="360"/>
      </w:pPr>
      <w:rPr>
        <w:rFonts w:ascii="Times New Roman" w:eastAsia="Times New Roman" w:hAnsi="Times New Roman" w:hint="default"/>
        <w:spacing w:val="-1"/>
        <w:sz w:val="24"/>
        <w:szCs w:val="24"/>
      </w:rPr>
    </w:lvl>
    <w:lvl w:ilvl="1" w:tplc="EEACD744">
      <w:start w:val="1"/>
      <w:numFmt w:val="bullet"/>
      <w:lvlText w:val="•"/>
      <w:lvlJc w:val="left"/>
      <w:rPr>
        <w:rFonts w:hint="default"/>
      </w:rPr>
    </w:lvl>
    <w:lvl w:ilvl="2" w:tplc="0E16DF78">
      <w:start w:val="1"/>
      <w:numFmt w:val="bullet"/>
      <w:lvlText w:val="•"/>
      <w:lvlJc w:val="left"/>
      <w:rPr>
        <w:rFonts w:hint="default"/>
      </w:rPr>
    </w:lvl>
    <w:lvl w:ilvl="3" w:tplc="AA7E3B48">
      <w:start w:val="1"/>
      <w:numFmt w:val="bullet"/>
      <w:lvlText w:val="•"/>
      <w:lvlJc w:val="left"/>
      <w:rPr>
        <w:rFonts w:hint="default"/>
      </w:rPr>
    </w:lvl>
    <w:lvl w:ilvl="4" w:tplc="94D436A4">
      <w:start w:val="1"/>
      <w:numFmt w:val="bullet"/>
      <w:lvlText w:val="•"/>
      <w:lvlJc w:val="left"/>
      <w:rPr>
        <w:rFonts w:hint="default"/>
      </w:rPr>
    </w:lvl>
    <w:lvl w:ilvl="5" w:tplc="A042B3E0">
      <w:start w:val="1"/>
      <w:numFmt w:val="bullet"/>
      <w:lvlText w:val="•"/>
      <w:lvlJc w:val="left"/>
      <w:rPr>
        <w:rFonts w:hint="default"/>
      </w:rPr>
    </w:lvl>
    <w:lvl w:ilvl="6" w:tplc="2216FFC2">
      <w:start w:val="1"/>
      <w:numFmt w:val="bullet"/>
      <w:lvlText w:val="•"/>
      <w:lvlJc w:val="left"/>
      <w:rPr>
        <w:rFonts w:hint="default"/>
      </w:rPr>
    </w:lvl>
    <w:lvl w:ilvl="7" w:tplc="783E67A2">
      <w:start w:val="1"/>
      <w:numFmt w:val="bullet"/>
      <w:lvlText w:val="•"/>
      <w:lvlJc w:val="left"/>
      <w:rPr>
        <w:rFonts w:hint="default"/>
      </w:rPr>
    </w:lvl>
    <w:lvl w:ilvl="8" w:tplc="1AF48388">
      <w:start w:val="1"/>
      <w:numFmt w:val="bullet"/>
      <w:lvlText w:val="•"/>
      <w:lvlJc w:val="left"/>
      <w:rPr>
        <w:rFonts w:hint="default"/>
      </w:rPr>
    </w:lvl>
  </w:abstractNum>
  <w:abstractNum w:abstractNumId="13" w15:restartNumberingAfterBreak="0">
    <w:nsid w:val="5B744687"/>
    <w:multiLevelType w:val="hybridMultilevel"/>
    <w:tmpl w:val="DCC63CF4"/>
    <w:lvl w:ilvl="0" w:tplc="EA4ABF26">
      <w:start w:val="1"/>
      <w:numFmt w:val="lowerLetter"/>
      <w:lvlText w:val="%1."/>
      <w:lvlJc w:val="left"/>
      <w:pPr>
        <w:ind w:hanging="360"/>
      </w:pPr>
      <w:rPr>
        <w:rFonts w:ascii="Times New Roman" w:eastAsia="Times New Roman" w:hAnsi="Times New Roman" w:hint="default"/>
        <w:spacing w:val="-1"/>
        <w:sz w:val="24"/>
        <w:szCs w:val="24"/>
      </w:rPr>
    </w:lvl>
    <w:lvl w:ilvl="1" w:tplc="C494023E">
      <w:start w:val="1"/>
      <w:numFmt w:val="bullet"/>
      <w:lvlText w:val="•"/>
      <w:lvlJc w:val="left"/>
      <w:rPr>
        <w:rFonts w:hint="default"/>
      </w:rPr>
    </w:lvl>
    <w:lvl w:ilvl="2" w:tplc="3FE80132">
      <w:start w:val="1"/>
      <w:numFmt w:val="bullet"/>
      <w:lvlText w:val="•"/>
      <w:lvlJc w:val="left"/>
      <w:rPr>
        <w:rFonts w:hint="default"/>
      </w:rPr>
    </w:lvl>
    <w:lvl w:ilvl="3" w:tplc="2714B32E">
      <w:start w:val="1"/>
      <w:numFmt w:val="bullet"/>
      <w:lvlText w:val="•"/>
      <w:lvlJc w:val="left"/>
      <w:rPr>
        <w:rFonts w:hint="default"/>
      </w:rPr>
    </w:lvl>
    <w:lvl w:ilvl="4" w:tplc="74EE4B88">
      <w:start w:val="1"/>
      <w:numFmt w:val="bullet"/>
      <w:lvlText w:val="•"/>
      <w:lvlJc w:val="left"/>
      <w:rPr>
        <w:rFonts w:hint="default"/>
      </w:rPr>
    </w:lvl>
    <w:lvl w:ilvl="5" w:tplc="254E9C62">
      <w:start w:val="1"/>
      <w:numFmt w:val="bullet"/>
      <w:lvlText w:val="•"/>
      <w:lvlJc w:val="left"/>
      <w:rPr>
        <w:rFonts w:hint="default"/>
      </w:rPr>
    </w:lvl>
    <w:lvl w:ilvl="6" w:tplc="F5485E64">
      <w:start w:val="1"/>
      <w:numFmt w:val="bullet"/>
      <w:lvlText w:val="•"/>
      <w:lvlJc w:val="left"/>
      <w:rPr>
        <w:rFonts w:hint="default"/>
      </w:rPr>
    </w:lvl>
    <w:lvl w:ilvl="7" w:tplc="C07CE5D6">
      <w:start w:val="1"/>
      <w:numFmt w:val="bullet"/>
      <w:lvlText w:val="•"/>
      <w:lvlJc w:val="left"/>
      <w:rPr>
        <w:rFonts w:hint="default"/>
      </w:rPr>
    </w:lvl>
    <w:lvl w:ilvl="8" w:tplc="C8B677A6">
      <w:start w:val="1"/>
      <w:numFmt w:val="bullet"/>
      <w:lvlText w:val="•"/>
      <w:lvlJc w:val="left"/>
      <w:rPr>
        <w:rFonts w:hint="default"/>
      </w:rPr>
    </w:lvl>
  </w:abstractNum>
  <w:abstractNum w:abstractNumId="14" w15:restartNumberingAfterBreak="0">
    <w:nsid w:val="5D8D3DD2"/>
    <w:multiLevelType w:val="hybridMultilevel"/>
    <w:tmpl w:val="14DA44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6B06B8"/>
    <w:multiLevelType w:val="hybridMultilevel"/>
    <w:tmpl w:val="CD140FD8"/>
    <w:lvl w:ilvl="0" w:tplc="211A4BF0">
      <w:start w:val="1"/>
      <w:numFmt w:val="lowerLetter"/>
      <w:lvlText w:val="%1."/>
      <w:lvlJc w:val="left"/>
      <w:pPr>
        <w:ind w:hanging="360"/>
      </w:pPr>
      <w:rPr>
        <w:rFonts w:ascii="Times New Roman" w:eastAsia="Times New Roman" w:hAnsi="Times New Roman" w:hint="default"/>
        <w:spacing w:val="-1"/>
        <w:sz w:val="24"/>
        <w:szCs w:val="24"/>
      </w:rPr>
    </w:lvl>
    <w:lvl w:ilvl="1" w:tplc="B1A46992">
      <w:start w:val="3"/>
      <w:numFmt w:val="lowerLetter"/>
      <w:lvlText w:val="%2."/>
      <w:lvlJc w:val="left"/>
      <w:pPr>
        <w:ind w:hanging="360"/>
        <w:jc w:val="right"/>
      </w:pPr>
      <w:rPr>
        <w:rFonts w:ascii="Times New Roman" w:eastAsia="Times New Roman" w:hAnsi="Times New Roman" w:hint="default"/>
        <w:sz w:val="22"/>
        <w:szCs w:val="22"/>
      </w:rPr>
    </w:lvl>
    <w:lvl w:ilvl="2" w:tplc="7C681006">
      <w:start w:val="7"/>
      <w:numFmt w:val="lowerLetter"/>
      <w:lvlText w:val="%3."/>
      <w:lvlJc w:val="left"/>
      <w:pPr>
        <w:ind w:hanging="284"/>
        <w:jc w:val="right"/>
      </w:pPr>
      <w:rPr>
        <w:rFonts w:ascii="Times New Roman" w:eastAsia="Times New Roman" w:hAnsi="Times New Roman" w:hint="default"/>
        <w:spacing w:val="-3"/>
        <w:sz w:val="22"/>
        <w:szCs w:val="22"/>
      </w:rPr>
    </w:lvl>
    <w:lvl w:ilvl="3" w:tplc="2A9CF258">
      <w:start w:val="1"/>
      <w:numFmt w:val="bullet"/>
      <w:lvlText w:val="•"/>
      <w:lvlJc w:val="left"/>
      <w:rPr>
        <w:rFonts w:hint="default"/>
      </w:rPr>
    </w:lvl>
    <w:lvl w:ilvl="4" w:tplc="B3902346">
      <w:start w:val="1"/>
      <w:numFmt w:val="bullet"/>
      <w:lvlText w:val="•"/>
      <w:lvlJc w:val="left"/>
      <w:rPr>
        <w:rFonts w:hint="default"/>
      </w:rPr>
    </w:lvl>
    <w:lvl w:ilvl="5" w:tplc="7B829A04">
      <w:start w:val="1"/>
      <w:numFmt w:val="bullet"/>
      <w:lvlText w:val="•"/>
      <w:lvlJc w:val="left"/>
      <w:rPr>
        <w:rFonts w:hint="default"/>
      </w:rPr>
    </w:lvl>
    <w:lvl w:ilvl="6" w:tplc="02F01896">
      <w:start w:val="1"/>
      <w:numFmt w:val="bullet"/>
      <w:lvlText w:val="•"/>
      <w:lvlJc w:val="left"/>
      <w:rPr>
        <w:rFonts w:hint="default"/>
      </w:rPr>
    </w:lvl>
    <w:lvl w:ilvl="7" w:tplc="90CC4C38">
      <w:start w:val="1"/>
      <w:numFmt w:val="bullet"/>
      <w:lvlText w:val="•"/>
      <w:lvlJc w:val="left"/>
      <w:rPr>
        <w:rFonts w:hint="default"/>
      </w:rPr>
    </w:lvl>
    <w:lvl w:ilvl="8" w:tplc="8DF8D32C">
      <w:start w:val="1"/>
      <w:numFmt w:val="bullet"/>
      <w:lvlText w:val="•"/>
      <w:lvlJc w:val="left"/>
      <w:rPr>
        <w:rFonts w:hint="default"/>
      </w:rPr>
    </w:lvl>
  </w:abstractNum>
  <w:abstractNum w:abstractNumId="16" w15:restartNumberingAfterBreak="0">
    <w:nsid w:val="6783615E"/>
    <w:multiLevelType w:val="hybridMultilevel"/>
    <w:tmpl w:val="17A2F07C"/>
    <w:lvl w:ilvl="0" w:tplc="5E08EC84">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6D6D426E"/>
    <w:multiLevelType w:val="hybridMultilevel"/>
    <w:tmpl w:val="6A885604"/>
    <w:lvl w:ilvl="0" w:tplc="70725600">
      <w:start w:val="1"/>
      <w:numFmt w:val="upperLetter"/>
      <w:lvlText w:val="%1"/>
      <w:lvlJc w:val="left"/>
      <w:pPr>
        <w:ind w:hanging="622"/>
      </w:pPr>
      <w:rPr>
        <w:rFonts w:ascii="Times New Roman" w:eastAsia="Times New Roman" w:hAnsi="Times New Roman" w:hint="default"/>
        <w:sz w:val="22"/>
        <w:szCs w:val="22"/>
      </w:rPr>
    </w:lvl>
    <w:lvl w:ilvl="1" w:tplc="A828A35A">
      <w:start w:val="1"/>
      <w:numFmt w:val="bullet"/>
      <w:lvlText w:val="•"/>
      <w:lvlJc w:val="left"/>
      <w:rPr>
        <w:rFonts w:hint="default"/>
      </w:rPr>
    </w:lvl>
    <w:lvl w:ilvl="2" w:tplc="5C825878">
      <w:start w:val="1"/>
      <w:numFmt w:val="bullet"/>
      <w:lvlText w:val="•"/>
      <w:lvlJc w:val="left"/>
      <w:rPr>
        <w:rFonts w:hint="default"/>
      </w:rPr>
    </w:lvl>
    <w:lvl w:ilvl="3" w:tplc="62B6367E">
      <w:start w:val="1"/>
      <w:numFmt w:val="bullet"/>
      <w:lvlText w:val="•"/>
      <w:lvlJc w:val="left"/>
      <w:rPr>
        <w:rFonts w:hint="default"/>
      </w:rPr>
    </w:lvl>
    <w:lvl w:ilvl="4" w:tplc="E1D4114A">
      <w:start w:val="1"/>
      <w:numFmt w:val="bullet"/>
      <w:lvlText w:val="•"/>
      <w:lvlJc w:val="left"/>
      <w:rPr>
        <w:rFonts w:hint="default"/>
      </w:rPr>
    </w:lvl>
    <w:lvl w:ilvl="5" w:tplc="BF940CD0">
      <w:start w:val="1"/>
      <w:numFmt w:val="bullet"/>
      <w:lvlText w:val="•"/>
      <w:lvlJc w:val="left"/>
      <w:rPr>
        <w:rFonts w:hint="default"/>
      </w:rPr>
    </w:lvl>
    <w:lvl w:ilvl="6" w:tplc="DA4892C2">
      <w:start w:val="1"/>
      <w:numFmt w:val="bullet"/>
      <w:lvlText w:val="•"/>
      <w:lvlJc w:val="left"/>
      <w:rPr>
        <w:rFonts w:hint="default"/>
      </w:rPr>
    </w:lvl>
    <w:lvl w:ilvl="7" w:tplc="BBC2B470">
      <w:start w:val="1"/>
      <w:numFmt w:val="bullet"/>
      <w:lvlText w:val="•"/>
      <w:lvlJc w:val="left"/>
      <w:rPr>
        <w:rFonts w:hint="default"/>
      </w:rPr>
    </w:lvl>
    <w:lvl w:ilvl="8" w:tplc="9AB8110E">
      <w:start w:val="1"/>
      <w:numFmt w:val="bullet"/>
      <w:lvlText w:val="•"/>
      <w:lvlJc w:val="left"/>
      <w:rPr>
        <w:rFonts w:hint="default"/>
      </w:rPr>
    </w:lvl>
  </w:abstractNum>
  <w:abstractNum w:abstractNumId="18" w15:restartNumberingAfterBreak="0">
    <w:nsid w:val="70291D9E"/>
    <w:multiLevelType w:val="multilevel"/>
    <w:tmpl w:val="CD26D40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E4F6ABA"/>
    <w:multiLevelType w:val="multilevel"/>
    <w:tmpl w:val="882C81A0"/>
    <w:lvl w:ilvl="0">
      <w:start w:val="3"/>
      <w:numFmt w:val="decimal"/>
      <w:lvlText w:val="%1"/>
      <w:lvlJc w:val="left"/>
      <w:pPr>
        <w:ind w:hanging="567"/>
      </w:pPr>
      <w:rPr>
        <w:rFonts w:hint="default"/>
      </w:rPr>
    </w:lvl>
    <w:lvl w:ilvl="1">
      <w:start w:val="5"/>
      <w:numFmt w:val="decimal"/>
      <w:lvlText w:val="%1.%2"/>
      <w:lvlJc w:val="left"/>
      <w:pPr>
        <w:ind w:hanging="567"/>
      </w:pPr>
      <w:rPr>
        <w:rFonts w:ascii="Times New Roman" w:eastAsia="Times New Roman" w:hAnsi="Times New Roman" w:hint="default"/>
        <w:b/>
        <w:bCs/>
        <w:sz w:val="24"/>
        <w:szCs w:val="24"/>
      </w:rPr>
    </w:lvl>
    <w:lvl w:ilvl="2">
      <w:start w:val="1"/>
      <w:numFmt w:val="decimal"/>
      <w:lvlText w:val="%1.%2.%3"/>
      <w:lvlJc w:val="left"/>
      <w:pPr>
        <w:ind w:hanging="567"/>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604148854">
    <w:abstractNumId w:val="7"/>
  </w:num>
  <w:num w:numId="2" w16cid:durableId="1007635037">
    <w:abstractNumId w:val="11"/>
  </w:num>
  <w:num w:numId="3" w16cid:durableId="231433839">
    <w:abstractNumId w:val="5"/>
  </w:num>
  <w:num w:numId="4" w16cid:durableId="675302772">
    <w:abstractNumId w:val="17"/>
  </w:num>
  <w:num w:numId="5" w16cid:durableId="361131003">
    <w:abstractNumId w:val="15"/>
  </w:num>
  <w:num w:numId="6" w16cid:durableId="1994596780">
    <w:abstractNumId w:val="13"/>
  </w:num>
  <w:num w:numId="7" w16cid:durableId="488064131">
    <w:abstractNumId w:val="8"/>
  </w:num>
  <w:num w:numId="8" w16cid:durableId="1538930542">
    <w:abstractNumId w:val="12"/>
  </w:num>
  <w:num w:numId="9" w16cid:durableId="855508883">
    <w:abstractNumId w:val="6"/>
  </w:num>
  <w:num w:numId="10" w16cid:durableId="732585098">
    <w:abstractNumId w:val="18"/>
  </w:num>
  <w:num w:numId="11" w16cid:durableId="132061026">
    <w:abstractNumId w:val="1"/>
  </w:num>
  <w:num w:numId="12" w16cid:durableId="1908764327">
    <w:abstractNumId w:val="19"/>
  </w:num>
  <w:num w:numId="13" w16cid:durableId="1843277747">
    <w:abstractNumId w:val="10"/>
  </w:num>
  <w:num w:numId="14" w16cid:durableId="1113282938">
    <w:abstractNumId w:val="0"/>
  </w:num>
  <w:num w:numId="15" w16cid:durableId="1786535871">
    <w:abstractNumId w:val="3"/>
  </w:num>
  <w:num w:numId="16" w16cid:durableId="1009452551">
    <w:abstractNumId w:val="2"/>
  </w:num>
  <w:num w:numId="17" w16cid:durableId="1555042686">
    <w:abstractNumId w:val="9"/>
  </w:num>
  <w:num w:numId="18" w16cid:durableId="1905487987">
    <w:abstractNumId w:val="16"/>
  </w:num>
  <w:num w:numId="19" w16cid:durableId="1930652557">
    <w:abstractNumId w:val="14"/>
  </w:num>
  <w:num w:numId="20" w16cid:durableId="1959795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savePreviewPicture/>
  <w:hdrShapeDefaults>
    <o:shapedefaults v:ext="edit" spidmax="2050"/>
    <o:shapelayout v:ext="edit">
      <o:idmap v:ext="edit" data="1"/>
      <o:rules v:ext="edit">
        <o:r id="V:Rule1" type="connector" idref="#_x0000_s1032"/>
        <o:r id="V:Rule2" type="connector" idref="#_x0000_s1042"/>
        <o:r id="V:Rule3" type="connector" idref="#_x0000_s105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325C"/>
    <w:rsid w:val="00012918"/>
    <w:rsid w:val="00014FA1"/>
    <w:rsid w:val="000319F3"/>
    <w:rsid w:val="0003375E"/>
    <w:rsid w:val="0004226A"/>
    <w:rsid w:val="000457AF"/>
    <w:rsid w:val="00057A19"/>
    <w:rsid w:val="0006280D"/>
    <w:rsid w:val="00067DCF"/>
    <w:rsid w:val="0007484B"/>
    <w:rsid w:val="00075F3A"/>
    <w:rsid w:val="00083B18"/>
    <w:rsid w:val="00084824"/>
    <w:rsid w:val="0008590F"/>
    <w:rsid w:val="0009003F"/>
    <w:rsid w:val="0009269E"/>
    <w:rsid w:val="00094BE3"/>
    <w:rsid w:val="000970FF"/>
    <w:rsid w:val="000A3947"/>
    <w:rsid w:val="000A5249"/>
    <w:rsid w:val="000B0108"/>
    <w:rsid w:val="000C024E"/>
    <w:rsid w:val="000C332D"/>
    <w:rsid w:val="000C3E83"/>
    <w:rsid w:val="000D0F43"/>
    <w:rsid w:val="000D47A9"/>
    <w:rsid w:val="000D5B48"/>
    <w:rsid w:val="00103674"/>
    <w:rsid w:val="00105454"/>
    <w:rsid w:val="001108B8"/>
    <w:rsid w:val="00124310"/>
    <w:rsid w:val="00132E9A"/>
    <w:rsid w:val="001931D2"/>
    <w:rsid w:val="001E07BF"/>
    <w:rsid w:val="001F0F66"/>
    <w:rsid w:val="001F196A"/>
    <w:rsid w:val="00205016"/>
    <w:rsid w:val="00206DF3"/>
    <w:rsid w:val="002070B9"/>
    <w:rsid w:val="00211517"/>
    <w:rsid w:val="0021301D"/>
    <w:rsid w:val="00233114"/>
    <w:rsid w:val="00236161"/>
    <w:rsid w:val="00236F12"/>
    <w:rsid w:val="00241AB1"/>
    <w:rsid w:val="00253B75"/>
    <w:rsid w:val="002738E0"/>
    <w:rsid w:val="00293BC8"/>
    <w:rsid w:val="00294513"/>
    <w:rsid w:val="002A1B78"/>
    <w:rsid w:val="002B04BE"/>
    <w:rsid w:val="002B7A0F"/>
    <w:rsid w:val="002C6DE0"/>
    <w:rsid w:val="002D0D83"/>
    <w:rsid w:val="002D465D"/>
    <w:rsid w:val="002F6EE8"/>
    <w:rsid w:val="00300469"/>
    <w:rsid w:val="00301D6D"/>
    <w:rsid w:val="003058D0"/>
    <w:rsid w:val="00317FDC"/>
    <w:rsid w:val="00321C62"/>
    <w:rsid w:val="00322ED5"/>
    <w:rsid w:val="00352510"/>
    <w:rsid w:val="00366416"/>
    <w:rsid w:val="003753DD"/>
    <w:rsid w:val="003765F2"/>
    <w:rsid w:val="00386289"/>
    <w:rsid w:val="00391CC9"/>
    <w:rsid w:val="00392E53"/>
    <w:rsid w:val="0039367E"/>
    <w:rsid w:val="00393FEE"/>
    <w:rsid w:val="003B59CA"/>
    <w:rsid w:val="003C724E"/>
    <w:rsid w:val="003D52B6"/>
    <w:rsid w:val="003D707A"/>
    <w:rsid w:val="003E225C"/>
    <w:rsid w:val="003F385B"/>
    <w:rsid w:val="003F7A97"/>
    <w:rsid w:val="00405D98"/>
    <w:rsid w:val="00441747"/>
    <w:rsid w:val="00441DE3"/>
    <w:rsid w:val="00444DBB"/>
    <w:rsid w:val="00451E6B"/>
    <w:rsid w:val="00475959"/>
    <w:rsid w:val="0047633C"/>
    <w:rsid w:val="0048390D"/>
    <w:rsid w:val="00487275"/>
    <w:rsid w:val="00496FB1"/>
    <w:rsid w:val="004B09B9"/>
    <w:rsid w:val="004B2522"/>
    <w:rsid w:val="004B7418"/>
    <w:rsid w:val="004D2587"/>
    <w:rsid w:val="004D27C3"/>
    <w:rsid w:val="004D747C"/>
    <w:rsid w:val="004F5B5D"/>
    <w:rsid w:val="0050655E"/>
    <w:rsid w:val="00511683"/>
    <w:rsid w:val="005247EC"/>
    <w:rsid w:val="00534BE7"/>
    <w:rsid w:val="005502F1"/>
    <w:rsid w:val="00562A11"/>
    <w:rsid w:val="00564746"/>
    <w:rsid w:val="0057448B"/>
    <w:rsid w:val="00575427"/>
    <w:rsid w:val="005823BF"/>
    <w:rsid w:val="005A1F8F"/>
    <w:rsid w:val="005C2782"/>
    <w:rsid w:val="005D0772"/>
    <w:rsid w:val="005D417A"/>
    <w:rsid w:val="005D78CE"/>
    <w:rsid w:val="005E3D15"/>
    <w:rsid w:val="005F0FF1"/>
    <w:rsid w:val="00603965"/>
    <w:rsid w:val="006160C3"/>
    <w:rsid w:val="006219F4"/>
    <w:rsid w:val="006345FF"/>
    <w:rsid w:val="00634F9A"/>
    <w:rsid w:val="00637324"/>
    <w:rsid w:val="0064284A"/>
    <w:rsid w:val="00646822"/>
    <w:rsid w:val="00661966"/>
    <w:rsid w:val="0066228E"/>
    <w:rsid w:val="00662646"/>
    <w:rsid w:val="006727A2"/>
    <w:rsid w:val="006776EB"/>
    <w:rsid w:val="0069432D"/>
    <w:rsid w:val="006A2E1C"/>
    <w:rsid w:val="006A32B3"/>
    <w:rsid w:val="006B60DD"/>
    <w:rsid w:val="006B6170"/>
    <w:rsid w:val="006D454C"/>
    <w:rsid w:val="006D4AD4"/>
    <w:rsid w:val="006D5A7F"/>
    <w:rsid w:val="006E7685"/>
    <w:rsid w:val="006F4807"/>
    <w:rsid w:val="006F50C0"/>
    <w:rsid w:val="006F5965"/>
    <w:rsid w:val="0070029C"/>
    <w:rsid w:val="007031D3"/>
    <w:rsid w:val="00703252"/>
    <w:rsid w:val="00731AA5"/>
    <w:rsid w:val="00750430"/>
    <w:rsid w:val="0075064D"/>
    <w:rsid w:val="00767253"/>
    <w:rsid w:val="007B0E2A"/>
    <w:rsid w:val="007C3B9F"/>
    <w:rsid w:val="007E3344"/>
    <w:rsid w:val="007F2D21"/>
    <w:rsid w:val="0080213B"/>
    <w:rsid w:val="008021D7"/>
    <w:rsid w:val="008047F3"/>
    <w:rsid w:val="00804FF8"/>
    <w:rsid w:val="0082778E"/>
    <w:rsid w:val="0083378A"/>
    <w:rsid w:val="008366FB"/>
    <w:rsid w:val="008377FE"/>
    <w:rsid w:val="00845347"/>
    <w:rsid w:val="00851940"/>
    <w:rsid w:val="008670E5"/>
    <w:rsid w:val="0087325C"/>
    <w:rsid w:val="00873A88"/>
    <w:rsid w:val="00877853"/>
    <w:rsid w:val="008A1D9C"/>
    <w:rsid w:val="008D2836"/>
    <w:rsid w:val="008E7CB2"/>
    <w:rsid w:val="008F1D12"/>
    <w:rsid w:val="00901EFC"/>
    <w:rsid w:val="00910C55"/>
    <w:rsid w:val="00923F7C"/>
    <w:rsid w:val="0092611F"/>
    <w:rsid w:val="00944F10"/>
    <w:rsid w:val="00952C60"/>
    <w:rsid w:val="009626BB"/>
    <w:rsid w:val="009636E8"/>
    <w:rsid w:val="00963B36"/>
    <w:rsid w:val="009820D6"/>
    <w:rsid w:val="009A6AEA"/>
    <w:rsid w:val="009D5728"/>
    <w:rsid w:val="009E2ED7"/>
    <w:rsid w:val="00A030BA"/>
    <w:rsid w:val="00A146F1"/>
    <w:rsid w:val="00A261E5"/>
    <w:rsid w:val="00A26307"/>
    <w:rsid w:val="00A4630F"/>
    <w:rsid w:val="00A520A3"/>
    <w:rsid w:val="00A553A9"/>
    <w:rsid w:val="00A6673C"/>
    <w:rsid w:val="00A6686E"/>
    <w:rsid w:val="00A7149B"/>
    <w:rsid w:val="00A72081"/>
    <w:rsid w:val="00A7235B"/>
    <w:rsid w:val="00A83C1D"/>
    <w:rsid w:val="00A87101"/>
    <w:rsid w:val="00A954C7"/>
    <w:rsid w:val="00A95A7D"/>
    <w:rsid w:val="00A95ED9"/>
    <w:rsid w:val="00AA48DC"/>
    <w:rsid w:val="00AB167A"/>
    <w:rsid w:val="00AC1015"/>
    <w:rsid w:val="00AE0DE7"/>
    <w:rsid w:val="00AF5542"/>
    <w:rsid w:val="00B16767"/>
    <w:rsid w:val="00B34CD8"/>
    <w:rsid w:val="00B4008C"/>
    <w:rsid w:val="00B44371"/>
    <w:rsid w:val="00B54D56"/>
    <w:rsid w:val="00B7147E"/>
    <w:rsid w:val="00BA5C54"/>
    <w:rsid w:val="00BB0A02"/>
    <w:rsid w:val="00BB7535"/>
    <w:rsid w:val="00BC4D19"/>
    <w:rsid w:val="00BD4D78"/>
    <w:rsid w:val="00BE6285"/>
    <w:rsid w:val="00BF2160"/>
    <w:rsid w:val="00BF4777"/>
    <w:rsid w:val="00C00B8B"/>
    <w:rsid w:val="00C02D72"/>
    <w:rsid w:val="00C02E24"/>
    <w:rsid w:val="00C07090"/>
    <w:rsid w:val="00C14CCA"/>
    <w:rsid w:val="00C1681A"/>
    <w:rsid w:val="00C42A4D"/>
    <w:rsid w:val="00C64FDD"/>
    <w:rsid w:val="00C67DA6"/>
    <w:rsid w:val="00C75820"/>
    <w:rsid w:val="00C86663"/>
    <w:rsid w:val="00CA0B7E"/>
    <w:rsid w:val="00CA10EE"/>
    <w:rsid w:val="00CA2438"/>
    <w:rsid w:val="00CB0BE3"/>
    <w:rsid w:val="00CB752E"/>
    <w:rsid w:val="00CC1AD3"/>
    <w:rsid w:val="00CE2F30"/>
    <w:rsid w:val="00CE5CF3"/>
    <w:rsid w:val="00CF0ACC"/>
    <w:rsid w:val="00CF317F"/>
    <w:rsid w:val="00D024C8"/>
    <w:rsid w:val="00D17821"/>
    <w:rsid w:val="00D22D7A"/>
    <w:rsid w:val="00D25707"/>
    <w:rsid w:val="00D31BD1"/>
    <w:rsid w:val="00D36644"/>
    <w:rsid w:val="00D3780B"/>
    <w:rsid w:val="00D40846"/>
    <w:rsid w:val="00D57EE3"/>
    <w:rsid w:val="00D77AE5"/>
    <w:rsid w:val="00D916E2"/>
    <w:rsid w:val="00DD18E3"/>
    <w:rsid w:val="00DD420C"/>
    <w:rsid w:val="00DD7212"/>
    <w:rsid w:val="00E0249F"/>
    <w:rsid w:val="00E04C97"/>
    <w:rsid w:val="00E37395"/>
    <w:rsid w:val="00E55DD1"/>
    <w:rsid w:val="00E71B9E"/>
    <w:rsid w:val="00E732C2"/>
    <w:rsid w:val="00E75DE5"/>
    <w:rsid w:val="00E7625A"/>
    <w:rsid w:val="00E82781"/>
    <w:rsid w:val="00E83FC6"/>
    <w:rsid w:val="00E861F0"/>
    <w:rsid w:val="00E97A65"/>
    <w:rsid w:val="00EA3922"/>
    <w:rsid w:val="00EA7D95"/>
    <w:rsid w:val="00EB322D"/>
    <w:rsid w:val="00EB41B3"/>
    <w:rsid w:val="00EB4FEF"/>
    <w:rsid w:val="00EC2389"/>
    <w:rsid w:val="00EC5FEE"/>
    <w:rsid w:val="00ED2ECF"/>
    <w:rsid w:val="00EE0177"/>
    <w:rsid w:val="00EE7655"/>
    <w:rsid w:val="00EF2B82"/>
    <w:rsid w:val="00F15365"/>
    <w:rsid w:val="00F21E16"/>
    <w:rsid w:val="00F22D3D"/>
    <w:rsid w:val="00F2377A"/>
    <w:rsid w:val="00F41D7E"/>
    <w:rsid w:val="00F54886"/>
    <w:rsid w:val="00F705A0"/>
    <w:rsid w:val="00F721CE"/>
    <w:rsid w:val="00F81BFA"/>
    <w:rsid w:val="00F860A5"/>
    <w:rsid w:val="00F903E8"/>
    <w:rsid w:val="00F93AC8"/>
    <w:rsid w:val="00FB7986"/>
    <w:rsid w:val="00FB7C81"/>
    <w:rsid w:val="00FD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F49D7"/>
  <w14:defaultImageDpi w14:val="0"/>
  <w15:docId w15:val="{FB4BD45A-2A2A-44E5-8DC4-E392DD0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1"/>
    <w:qFormat/>
    <w:rsid w:val="00A87101"/>
    <w:pPr>
      <w:widowControl w:val="0"/>
      <w:spacing w:after="0" w:line="240" w:lineRule="auto"/>
      <w:ind w:left="3111"/>
      <w:outlineLvl w:val="0"/>
    </w:pPr>
    <w:rPr>
      <w:rFonts w:ascii="Times New Roman" w:hAnsi="Times New Roman" w:cstheme="minorBidi"/>
      <w:b/>
      <w:bCs/>
      <w:sz w:val="28"/>
      <w:szCs w:val="28"/>
    </w:rPr>
  </w:style>
  <w:style w:type="paragraph" w:styleId="Heading2">
    <w:name w:val="heading 2"/>
    <w:basedOn w:val="Normal"/>
    <w:link w:val="Heading2Char"/>
    <w:uiPriority w:val="1"/>
    <w:qFormat/>
    <w:rsid w:val="00A87101"/>
    <w:pPr>
      <w:widowControl w:val="0"/>
      <w:spacing w:after="0" w:line="240" w:lineRule="auto"/>
      <w:ind w:left="588"/>
      <w:outlineLvl w:val="1"/>
    </w:pPr>
    <w:rPr>
      <w:rFonts w:ascii="Times New Roman" w:hAnsi="Times New Roman" w:cstheme="minorBid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25C"/>
    <w:rPr>
      <w:rFonts w:cs="Times New Roman"/>
      <w:color w:val="0563C1" w:themeColor="hyperlink"/>
      <w:u w:val="single"/>
    </w:rPr>
  </w:style>
  <w:style w:type="paragraph" w:customStyle="1" w:styleId="Default">
    <w:name w:val="Default"/>
    <w:rsid w:val="00B400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kepala,List Paragraph1"/>
    <w:basedOn w:val="Normal"/>
    <w:link w:val="ListParagraphChar"/>
    <w:uiPriority w:val="34"/>
    <w:qFormat/>
    <w:rsid w:val="00BF2160"/>
    <w:pPr>
      <w:spacing w:after="200" w:line="276" w:lineRule="auto"/>
      <w:ind w:left="720"/>
      <w:contextualSpacing/>
    </w:pPr>
    <w:rPr>
      <w:lang w:val="id-ID"/>
    </w:rPr>
  </w:style>
  <w:style w:type="character" w:customStyle="1" w:styleId="ListParagraphChar">
    <w:name w:val="List Paragraph Char"/>
    <w:aliases w:val="kepala Char,List Paragraph1 Char"/>
    <w:link w:val="ListParagraph"/>
    <w:uiPriority w:val="1"/>
    <w:locked/>
    <w:rsid w:val="00BF2160"/>
    <w:rPr>
      <w:lang w:val="id-ID" w:eastAsia="x-none"/>
    </w:rPr>
  </w:style>
  <w:style w:type="table" w:styleId="TableGrid">
    <w:name w:val="Table Grid"/>
    <w:basedOn w:val="TableNormal"/>
    <w:uiPriority w:val="39"/>
    <w:rsid w:val="00BF2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67E"/>
    <w:rPr>
      <w:rFonts w:ascii="Tahoma" w:hAnsi="Tahoma" w:cs="Tahoma"/>
      <w:sz w:val="16"/>
      <w:szCs w:val="16"/>
    </w:rPr>
  </w:style>
  <w:style w:type="paragraph" w:styleId="Header">
    <w:name w:val="header"/>
    <w:basedOn w:val="Normal"/>
    <w:link w:val="HeaderChar"/>
    <w:uiPriority w:val="99"/>
    <w:unhideWhenUsed/>
    <w:rsid w:val="008277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778E"/>
    <w:rPr>
      <w:rFonts w:cs="Times New Roman"/>
      <w:lang w:val="en-US" w:eastAsia="en-US"/>
    </w:rPr>
  </w:style>
  <w:style w:type="paragraph" w:styleId="Footer">
    <w:name w:val="footer"/>
    <w:basedOn w:val="Normal"/>
    <w:link w:val="FooterChar"/>
    <w:uiPriority w:val="99"/>
    <w:unhideWhenUsed/>
    <w:rsid w:val="008277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78E"/>
    <w:rPr>
      <w:rFonts w:cs="Times New Roman"/>
      <w:lang w:val="en-US" w:eastAsia="en-US"/>
    </w:rPr>
  </w:style>
  <w:style w:type="paragraph" w:styleId="BodyText">
    <w:name w:val="Body Text"/>
    <w:basedOn w:val="Normal"/>
    <w:link w:val="BodyTextChar"/>
    <w:uiPriority w:val="1"/>
    <w:qFormat/>
    <w:rsid w:val="005502F1"/>
    <w:pPr>
      <w:widowControl w:val="0"/>
      <w:spacing w:after="0" w:line="240" w:lineRule="auto"/>
      <w:ind w:left="588"/>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502F1"/>
    <w:rPr>
      <w:rFonts w:ascii="Times New Roman" w:hAnsi="Times New Roman" w:cstheme="minorBidi"/>
      <w:sz w:val="24"/>
      <w:szCs w:val="24"/>
    </w:rPr>
  </w:style>
  <w:style w:type="character" w:customStyle="1" w:styleId="Heading1Char">
    <w:name w:val="Heading 1 Char"/>
    <w:basedOn w:val="DefaultParagraphFont"/>
    <w:link w:val="Heading1"/>
    <w:uiPriority w:val="1"/>
    <w:rsid w:val="00A87101"/>
    <w:rPr>
      <w:rFonts w:ascii="Times New Roman" w:hAnsi="Times New Roman" w:cstheme="minorBidi"/>
      <w:b/>
      <w:bCs/>
      <w:sz w:val="28"/>
      <w:szCs w:val="28"/>
    </w:rPr>
  </w:style>
  <w:style w:type="character" w:customStyle="1" w:styleId="Heading2Char">
    <w:name w:val="Heading 2 Char"/>
    <w:basedOn w:val="DefaultParagraphFont"/>
    <w:link w:val="Heading2"/>
    <w:uiPriority w:val="1"/>
    <w:rsid w:val="00A87101"/>
    <w:rPr>
      <w:rFonts w:ascii="Times New Roman" w:hAnsi="Times New Roman" w:cstheme="minorBidi"/>
      <w:b/>
      <w:bCs/>
      <w:sz w:val="24"/>
      <w:szCs w:val="24"/>
    </w:rPr>
  </w:style>
  <w:style w:type="paragraph" w:styleId="TOC1">
    <w:name w:val="toc 1"/>
    <w:basedOn w:val="Normal"/>
    <w:uiPriority w:val="1"/>
    <w:qFormat/>
    <w:rsid w:val="00A87101"/>
    <w:pPr>
      <w:widowControl w:val="0"/>
      <w:spacing w:after="0" w:line="240" w:lineRule="auto"/>
      <w:ind w:left="588"/>
    </w:pPr>
    <w:rPr>
      <w:rFonts w:ascii="Times New Roman" w:hAnsi="Times New Roman" w:cstheme="minorBidi"/>
      <w:sz w:val="24"/>
      <w:szCs w:val="24"/>
    </w:rPr>
  </w:style>
  <w:style w:type="paragraph" w:styleId="TOC2">
    <w:name w:val="toc 2"/>
    <w:basedOn w:val="Normal"/>
    <w:uiPriority w:val="1"/>
    <w:qFormat/>
    <w:rsid w:val="00A87101"/>
    <w:pPr>
      <w:widowControl w:val="0"/>
      <w:spacing w:after="0" w:line="240" w:lineRule="auto"/>
      <w:ind w:left="948"/>
    </w:pPr>
    <w:rPr>
      <w:rFonts w:ascii="Times New Roman" w:hAnsi="Times New Roman" w:cstheme="minorBidi"/>
      <w:sz w:val="24"/>
      <w:szCs w:val="24"/>
    </w:rPr>
  </w:style>
  <w:style w:type="paragraph" w:styleId="TOC3">
    <w:name w:val="toc 3"/>
    <w:basedOn w:val="Normal"/>
    <w:uiPriority w:val="1"/>
    <w:qFormat/>
    <w:rsid w:val="00A87101"/>
    <w:pPr>
      <w:widowControl w:val="0"/>
      <w:spacing w:after="0" w:line="240" w:lineRule="auto"/>
      <w:ind w:left="1015"/>
    </w:pPr>
    <w:rPr>
      <w:rFonts w:ascii="Times New Roman" w:hAnsi="Times New Roman" w:cstheme="minorBidi"/>
    </w:rPr>
  </w:style>
  <w:style w:type="paragraph" w:customStyle="1" w:styleId="TableParagraph">
    <w:name w:val="Table Paragraph"/>
    <w:basedOn w:val="Normal"/>
    <w:uiPriority w:val="1"/>
    <w:qFormat/>
    <w:rsid w:val="00A87101"/>
    <w:pPr>
      <w:widowControl w:val="0"/>
      <w:spacing w:after="0" w:line="240" w:lineRule="auto"/>
    </w:pPr>
    <w:rPr>
      <w:rFonts w:eastAsiaTheme="minorHAnsi" w:cstheme="minorBidi"/>
    </w:rPr>
  </w:style>
  <w:style w:type="paragraph" w:styleId="PlainText">
    <w:name w:val="Plain Text"/>
    <w:basedOn w:val="Normal"/>
    <w:link w:val="PlainTextChar"/>
    <w:semiHidden/>
    <w:rsid w:val="00233114"/>
    <w:pPr>
      <w:spacing w:after="0" w:line="240" w:lineRule="auto"/>
    </w:pPr>
    <w:rPr>
      <w:rFonts w:ascii="Courier New" w:hAnsi="Courier New"/>
      <w:sz w:val="20"/>
      <w:szCs w:val="20"/>
      <w:lang w:eastAsia="id-ID"/>
    </w:rPr>
  </w:style>
  <w:style w:type="character" w:customStyle="1" w:styleId="PlainTextChar">
    <w:name w:val="Plain Text Char"/>
    <w:basedOn w:val="DefaultParagraphFont"/>
    <w:link w:val="PlainText"/>
    <w:semiHidden/>
    <w:rsid w:val="00233114"/>
    <w:rPr>
      <w:rFonts w:ascii="Courier New" w:hAnsi="Courier New" w:cs="Times New Roman"/>
      <w:sz w:val="20"/>
      <w:szCs w:val="20"/>
      <w:lang w:eastAsia="id-ID"/>
    </w:rPr>
  </w:style>
  <w:style w:type="paragraph" w:customStyle="1" w:styleId="E-JournalHeading1">
    <w:name w:val="E-Journal_Heading 1"/>
    <w:basedOn w:val="Normal"/>
    <w:qFormat/>
    <w:rsid w:val="00BC4D19"/>
    <w:pPr>
      <w:spacing w:before="120" w:after="120" w:line="240" w:lineRule="auto"/>
    </w:pPr>
    <w:rPr>
      <w:rFonts w:ascii="Times New Roman" w:hAnsi="Times New Roman"/>
      <w:b/>
    </w:rPr>
  </w:style>
  <w:style w:type="paragraph" w:customStyle="1" w:styleId="E-JournalBody">
    <w:name w:val="E-Journal_Body"/>
    <w:basedOn w:val="Normal"/>
    <w:qFormat/>
    <w:rsid w:val="00BC4D19"/>
    <w:pPr>
      <w:spacing w:after="0" w:line="240" w:lineRule="auto"/>
      <w:ind w:firstLine="743"/>
      <w:jc w:val="both"/>
    </w:pPr>
    <w:rPr>
      <w:rFonts w:ascii="Times New Roman" w:hAnsi="Times New Roman"/>
      <w:szCs w:val="24"/>
      <w:lang w:val="id-ID"/>
    </w:rPr>
  </w:style>
  <w:style w:type="paragraph" w:customStyle="1" w:styleId="E-JournalHeading2">
    <w:name w:val="E-Journal_Heading 2"/>
    <w:basedOn w:val="Normal"/>
    <w:qFormat/>
    <w:rsid w:val="00BC4D19"/>
    <w:pPr>
      <w:spacing w:before="120" w:after="120" w:line="240" w:lineRule="auto"/>
    </w:pPr>
    <w:rPr>
      <w:rFonts w:ascii="Times New Roman" w:hAnsi="Times New Roman"/>
    </w:rPr>
  </w:style>
  <w:style w:type="paragraph" w:customStyle="1" w:styleId="E-JournalTableCaption">
    <w:name w:val="E-Journal Table Caption"/>
    <w:basedOn w:val="Normal"/>
    <w:autoRedefine/>
    <w:qFormat/>
    <w:rsid w:val="00CE2F30"/>
    <w:pPr>
      <w:spacing w:before="120" w:after="0" w:line="240" w:lineRule="atLeast"/>
      <w:jc w:val="center"/>
    </w:pPr>
    <w:rPr>
      <w:rFonts w:ascii="Times New Roman" w:hAnsi="Times New Roman"/>
      <w:szCs w:val="24"/>
      <w:lang w:val="id-ID"/>
    </w:rPr>
  </w:style>
  <w:style w:type="paragraph" w:customStyle="1" w:styleId="E-JournalTable">
    <w:name w:val="E-Journal_Table"/>
    <w:basedOn w:val="Normal"/>
    <w:qFormat/>
    <w:rsid w:val="00BC4D19"/>
    <w:pPr>
      <w:spacing w:after="0" w:line="320" w:lineRule="atLeast"/>
      <w:jc w:val="center"/>
    </w:pPr>
    <w:rPr>
      <w:rFonts w:ascii="Times New Roman" w:hAnsi="Times New Roman"/>
      <w:szCs w:val="24"/>
      <w:lang w:val="id-ID"/>
    </w:rPr>
  </w:style>
  <w:style w:type="paragraph" w:customStyle="1" w:styleId="E-JournalPictureCapture">
    <w:name w:val="E-Journal_Picture Capture"/>
    <w:basedOn w:val="Normal"/>
    <w:autoRedefine/>
    <w:qFormat/>
    <w:rsid w:val="00BC4D19"/>
    <w:pPr>
      <w:spacing w:after="120" w:line="240" w:lineRule="atLeast"/>
      <w:jc w:val="center"/>
    </w:pPr>
    <w:rPr>
      <w:rFonts w:ascii="Times New Roman" w:hAnsi="Times New Roman"/>
      <w:color w:val="000000"/>
      <w:szCs w:val="24"/>
      <w:lang w:val="id-ID"/>
    </w:rPr>
  </w:style>
  <w:style w:type="paragraph" w:customStyle="1" w:styleId="E-JournalDaftarPustaka">
    <w:name w:val="E-Journal_Daftar Pustaka"/>
    <w:basedOn w:val="Normal"/>
    <w:qFormat/>
    <w:rsid w:val="00BC4D19"/>
    <w:pPr>
      <w:spacing w:before="240" w:after="0" w:line="240" w:lineRule="atLeast"/>
      <w:ind w:left="720" w:hanging="720"/>
      <w:jc w:val="both"/>
    </w:pPr>
    <w:rPr>
      <w:rFonts w:ascii="Times New Roman" w:hAnsi="Times New Roman"/>
      <w:color w:val="000000"/>
      <w:lang w:val="id-ID"/>
    </w:rPr>
  </w:style>
  <w:style w:type="character" w:styleId="Strong">
    <w:name w:val="Strong"/>
    <w:basedOn w:val="DefaultParagraphFont"/>
    <w:uiPriority w:val="22"/>
    <w:qFormat/>
    <w:rsid w:val="00BC4D19"/>
    <w:rPr>
      <w:b/>
      <w:bCs/>
    </w:rPr>
  </w:style>
  <w:style w:type="table" w:customStyle="1" w:styleId="TableGrid1">
    <w:name w:val="Table Grid1"/>
    <w:basedOn w:val="TableNormal"/>
    <w:next w:val="TableGrid"/>
    <w:uiPriority w:val="59"/>
    <w:rsid w:val="00BC4D19"/>
    <w:pPr>
      <w:spacing w:after="0" w:line="240" w:lineRule="auto"/>
    </w:pPr>
    <w:rPr>
      <w:rFonts w:ascii="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Author">
    <w:name w:val="E-Journal_Author"/>
    <w:basedOn w:val="Normal"/>
    <w:qFormat/>
    <w:rsid w:val="00BC4D19"/>
    <w:pPr>
      <w:spacing w:after="0" w:line="240" w:lineRule="auto"/>
      <w:jc w:val="center"/>
    </w:pPr>
    <w:rPr>
      <w:rFonts w:ascii="Times New Roman" w:hAnsi="Times New Roman"/>
      <w:lang w:val="id-ID"/>
    </w:rPr>
  </w:style>
  <w:style w:type="paragraph" w:customStyle="1" w:styleId="E-JournalTitle">
    <w:name w:val="E-Journal_Title"/>
    <w:basedOn w:val="Normal"/>
    <w:qFormat/>
    <w:rsid w:val="00BC4D19"/>
    <w:pPr>
      <w:spacing w:after="0" w:line="240" w:lineRule="auto"/>
      <w:ind w:firstLine="567"/>
      <w:jc w:val="center"/>
    </w:pPr>
    <w:rPr>
      <w:rFonts w:ascii="Times New Roman" w:hAnsi="Times New Roman"/>
      <w:b/>
      <w:lang w:val="id-ID"/>
    </w:rPr>
  </w:style>
  <w:style w:type="character" w:styleId="UnresolvedMention">
    <w:name w:val="Unresolved Mention"/>
    <w:basedOn w:val="DefaultParagraphFont"/>
    <w:uiPriority w:val="99"/>
    <w:semiHidden/>
    <w:unhideWhenUsed/>
    <w:rsid w:val="00F860A5"/>
    <w:rPr>
      <w:color w:val="605E5C"/>
      <w:shd w:val="clear" w:color="auto" w:fill="E1DFDD"/>
    </w:rPr>
  </w:style>
  <w:style w:type="character" w:styleId="CommentReference">
    <w:name w:val="annotation reference"/>
    <w:basedOn w:val="DefaultParagraphFont"/>
    <w:uiPriority w:val="99"/>
    <w:semiHidden/>
    <w:unhideWhenUsed/>
    <w:rsid w:val="00952C60"/>
    <w:rPr>
      <w:sz w:val="16"/>
      <w:szCs w:val="16"/>
    </w:rPr>
  </w:style>
  <w:style w:type="paragraph" w:styleId="CommentText">
    <w:name w:val="annotation text"/>
    <w:basedOn w:val="Normal"/>
    <w:link w:val="CommentTextChar"/>
    <w:uiPriority w:val="99"/>
    <w:unhideWhenUsed/>
    <w:rsid w:val="00952C60"/>
    <w:pPr>
      <w:spacing w:line="240" w:lineRule="auto"/>
    </w:pPr>
    <w:rPr>
      <w:sz w:val="20"/>
      <w:szCs w:val="20"/>
    </w:rPr>
  </w:style>
  <w:style w:type="character" w:customStyle="1" w:styleId="CommentTextChar">
    <w:name w:val="Comment Text Char"/>
    <w:basedOn w:val="DefaultParagraphFont"/>
    <w:link w:val="CommentText"/>
    <w:uiPriority w:val="99"/>
    <w:rsid w:val="00952C60"/>
    <w:rPr>
      <w:rFonts w:cs="Times New Roman"/>
      <w:sz w:val="20"/>
      <w:szCs w:val="20"/>
    </w:rPr>
  </w:style>
  <w:style w:type="paragraph" w:styleId="CommentSubject">
    <w:name w:val="annotation subject"/>
    <w:basedOn w:val="CommentText"/>
    <w:next w:val="CommentText"/>
    <w:link w:val="CommentSubjectChar"/>
    <w:uiPriority w:val="99"/>
    <w:semiHidden/>
    <w:unhideWhenUsed/>
    <w:rsid w:val="00952C60"/>
    <w:rPr>
      <w:b/>
      <w:bCs/>
    </w:rPr>
  </w:style>
  <w:style w:type="character" w:customStyle="1" w:styleId="CommentSubjectChar">
    <w:name w:val="Comment Subject Char"/>
    <w:basedOn w:val="CommentTextChar"/>
    <w:link w:val="CommentSubject"/>
    <w:uiPriority w:val="99"/>
    <w:semiHidden/>
    <w:rsid w:val="00952C60"/>
    <w:rPr>
      <w:rFonts w:cs="Times New Roman"/>
      <w:b/>
      <w:bCs/>
      <w:sz w:val="20"/>
      <w:szCs w:val="20"/>
    </w:rPr>
  </w:style>
  <w:style w:type="character" w:styleId="FollowedHyperlink">
    <w:name w:val="FollowedHyperlink"/>
    <w:basedOn w:val="DefaultParagraphFont"/>
    <w:uiPriority w:val="99"/>
    <w:semiHidden/>
    <w:unhideWhenUsed/>
    <w:rsid w:val="00A95E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4615">
      <w:bodyDiv w:val="1"/>
      <w:marLeft w:val="0"/>
      <w:marRight w:val="0"/>
      <w:marTop w:val="0"/>
      <w:marBottom w:val="0"/>
      <w:divBdr>
        <w:top w:val="none" w:sz="0" w:space="0" w:color="auto"/>
        <w:left w:val="none" w:sz="0" w:space="0" w:color="auto"/>
        <w:bottom w:val="none" w:sz="0" w:space="0" w:color="auto"/>
        <w:right w:val="none" w:sz="0" w:space="0" w:color="auto"/>
      </w:divBdr>
    </w:div>
    <w:div w:id="70976161">
      <w:bodyDiv w:val="1"/>
      <w:marLeft w:val="0"/>
      <w:marRight w:val="0"/>
      <w:marTop w:val="0"/>
      <w:marBottom w:val="0"/>
      <w:divBdr>
        <w:top w:val="none" w:sz="0" w:space="0" w:color="auto"/>
        <w:left w:val="none" w:sz="0" w:space="0" w:color="auto"/>
        <w:bottom w:val="none" w:sz="0" w:space="0" w:color="auto"/>
        <w:right w:val="none" w:sz="0" w:space="0" w:color="auto"/>
      </w:divBdr>
    </w:div>
    <w:div w:id="81689409">
      <w:bodyDiv w:val="1"/>
      <w:marLeft w:val="0"/>
      <w:marRight w:val="0"/>
      <w:marTop w:val="0"/>
      <w:marBottom w:val="0"/>
      <w:divBdr>
        <w:top w:val="none" w:sz="0" w:space="0" w:color="auto"/>
        <w:left w:val="none" w:sz="0" w:space="0" w:color="auto"/>
        <w:bottom w:val="none" w:sz="0" w:space="0" w:color="auto"/>
        <w:right w:val="none" w:sz="0" w:space="0" w:color="auto"/>
      </w:divBdr>
    </w:div>
    <w:div w:id="84494331">
      <w:bodyDiv w:val="1"/>
      <w:marLeft w:val="0"/>
      <w:marRight w:val="0"/>
      <w:marTop w:val="0"/>
      <w:marBottom w:val="0"/>
      <w:divBdr>
        <w:top w:val="none" w:sz="0" w:space="0" w:color="auto"/>
        <w:left w:val="none" w:sz="0" w:space="0" w:color="auto"/>
        <w:bottom w:val="none" w:sz="0" w:space="0" w:color="auto"/>
        <w:right w:val="none" w:sz="0" w:space="0" w:color="auto"/>
      </w:divBdr>
    </w:div>
    <w:div w:id="110518750">
      <w:bodyDiv w:val="1"/>
      <w:marLeft w:val="0"/>
      <w:marRight w:val="0"/>
      <w:marTop w:val="0"/>
      <w:marBottom w:val="0"/>
      <w:divBdr>
        <w:top w:val="none" w:sz="0" w:space="0" w:color="auto"/>
        <w:left w:val="none" w:sz="0" w:space="0" w:color="auto"/>
        <w:bottom w:val="none" w:sz="0" w:space="0" w:color="auto"/>
        <w:right w:val="none" w:sz="0" w:space="0" w:color="auto"/>
      </w:divBdr>
    </w:div>
    <w:div w:id="131170057">
      <w:bodyDiv w:val="1"/>
      <w:marLeft w:val="0"/>
      <w:marRight w:val="0"/>
      <w:marTop w:val="0"/>
      <w:marBottom w:val="0"/>
      <w:divBdr>
        <w:top w:val="none" w:sz="0" w:space="0" w:color="auto"/>
        <w:left w:val="none" w:sz="0" w:space="0" w:color="auto"/>
        <w:bottom w:val="none" w:sz="0" w:space="0" w:color="auto"/>
        <w:right w:val="none" w:sz="0" w:space="0" w:color="auto"/>
      </w:divBdr>
    </w:div>
    <w:div w:id="149173267">
      <w:bodyDiv w:val="1"/>
      <w:marLeft w:val="0"/>
      <w:marRight w:val="0"/>
      <w:marTop w:val="0"/>
      <w:marBottom w:val="0"/>
      <w:divBdr>
        <w:top w:val="none" w:sz="0" w:space="0" w:color="auto"/>
        <w:left w:val="none" w:sz="0" w:space="0" w:color="auto"/>
        <w:bottom w:val="none" w:sz="0" w:space="0" w:color="auto"/>
        <w:right w:val="none" w:sz="0" w:space="0" w:color="auto"/>
      </w:divBdr>
      <w:divsChild>
        <w:div w:id="495655411">
          <w:marLeft w:val="-720"/>
          <w:marRight w:val="0"/>
          <w:marTop w:val="0"/>
          <w:marBottom w:val="0"/>
          <w:divBdr>
            <w:top w:val="none" w:sz="0" w:space="0" w:color="auto"/>
            <w:left w:val="none" w:sz="0" w:space="0" w:color="auto"/>
            <w:bottom w:val="none" w:sz="0" w:space="0" w:color="auto"/>
            <w:right w:val="none" w:sz="0" w:space="0" w:color="auto"/>
          </w:divBdr>
        </w:div>
      </w:divsChild>
    </w:div>
    <w:div w:id="250890119">
      <w:bodyDiv w:val="1"/>
      <w:marLeft w:val="0"/>
      <w:marRight w:val="0"/>
      <w:marTop w:val="0"/>
      <w:marBottom w:val="0"/>
      <w:divBdr>
        <w:top w:val="none" w:sz="0" w:space="0" w:color="auto"/>
        <w:left w:val="none" w:sz="0" w:space="0" w:color="auto"/>
        <w:bottom w:val="none" w:sz="0" w:space="0" w:color="auto"/>
        <w:right w:val="none" w:sz="0" w:space="0" w:color="auto"/>
      </w:divBdr>
    </w:div>
    <w:div w:id="270939360">
      <w:bodyDiv w:val="1"/>
      <w:marLeft w:val="0"/>
      <w:marRight w:val="0"/>
      <w:marTop w:val="0"/>
      <w:marBottom w:val="0"/>
      <w:divBdr>
        <w:top w:val="none" w:sz="0" w:space="0" w:color="auto"/>
        <w:left w:val="none" w:sz="0" w:space="0" w:color="auto"/>
        <w:bottom w:val="none" w:sz="0" w:space="0" w:color="auto"/>
        <w:right w:val="none" w:sz="0" w:space="0" w:color="auto"/>
      </w:divBdr>
    </w:div>
    <w:div w:id="293869215">
      <w:bodyDiv w:val="1"/>
      <w:marLeft w:val="0"/>
      <w:marRight w:val="0"/>
      <w:marTop w:val="0"/>
      <w:marBottom w:val="0"/>
      <w:divBdr>
        <w:top w:val="none" w:sz="0" w:space="0" w:color="auto"/>
        <w:left w:val="none" w:sz="0" w:space="0" w:color="auto"/>
        <w:bottom w:val="none" w:sz="0" w:space="0" w:color="auto"/>
        <w:right w:val="none" w:sz="0" w:space="0" w:color="auto"/>
      </w:divBdr>
    </w:div>
    <w:div w:id="360597348">
      <w:bodyDiv w:val="1"/>
      <w:marLeft w:val="0"/>
      <w:marRight w:val="0"/>
      <w:marTop w:val="0"/>
      <w:marBottom w:val="0"/>
      <w:divBdr>
        <w:top w:val="none" w:sz="0" w:space="0" w:color="auto"/>
        <w:left w:val="none" w:sz="0" w:space="0" w:color="auto"/>
        <w:bottom w:val="none" w:sz="0" w:space="0" w:color="auto"/>
        <w:right w:val="none" w:sz="0" w:space="0" w:color="auto"/>
      </w:divBdr>
    </w:div>
    <w:div w:id="368530035">
      <w:bodyDiv w:val="1"/>
      <w:marLeft w:val="0"/>
      <w:marRight w:val="0"/>
      <w:marTop w:val="0"/>
      <w:marBottom w:val="0"/>
      <w:divBdr>
        <w:top w:val="none" w:sz="0" w:space="0" w:color="auto"/>
        <w:left w:val="none" w:sz="0" w:space="0" w:color="auto"/>
        <w:bottom w:val="none" w:sz="0" w:space="0" w:color="auto"/>
        <w:right w:val="none" w:sz="0" w:space="0" w:color="auto"/>
      </w:divBdr>
    </w:div>
    <w:div w:id="393359652">
      <w:bodyDiv w:val="1"/>
      <w:marLeft w:val="0"/>
      <w:marRight w:val="0"/>
      <w:marTop w:val="0"/>
      <w:marBottom w:val="0"/>
      <w:divBdr>
        <w:top w:val="none" w:sz="0" w:space="0" w:color="auto"/>
        <w:left w:val="none" w:sz="0" w:space="0" w:color="auto"/>
        <w:bottom w:val="none" w:sz="0" w:space="0" w:color="auto"/>
        <w:right w:val="none" w:sz="0" w:space="0" w:color="auto"/>
      </w:divBdr>
    </w:div>
    <w:div w:id="393889136">
      <w:bodyDiv w:val="1"/>
      <w:marLeft w:val="0"/>
      <w:marRight w:val="0"/>
      <w:marTop w:val="0"/>
      <w:marBottom w:val="0"/>
      <w:divBdr>
        <w:top w:val="none" w:sz="0" w:space="0" w:color="auto"/>
        <w:left w:val="none" w:sz="0" w:space="0" w:color="auto"/>
        <w:bottom w:val="none" w:sz="0" w:space="0" w:color="auto"/>
        <w:right w:val="none" w:sz="0" w:space="0" w:color="auto"/>
      </w:divBdr>
    </w:div>
    <w:div w:id="393966699">
      <w:bodyDiv w:val="1"/>
      <w:marLeft w:val="0"/>
      <w:marRight w:val="0"/>
      <w:marTop w:val="0"/>
      <w:marBottom w:val="0"/>
      <w:divBdr>
        <w:top w:val="none" w:sz="0" w:space="0" w:color="auto"/>
        <w:left w:val="none" w:sz="0" w:space="0" w:color="auto"/>
        <w:bottom w:val="none" w:sz="0" w:space="0" w:color="auto"/>
        <w:right w:val="none" w:sz="0" w:space="0" w:color="auto"/>
      </w:divBdr>
    </w:div>
    <w:div w:id="404646585">
      <w:bodyDiv w:val="1"/>
      <w:marLeft w:val="0"/>
      <w:marRight w:val="0"/>
      <w:marTop w:val="0"/>
      <w:marBottom w:val="0"/>
      <w:divBdr>
        <w:top w:val="none" w:sz="0" w:space="0" w:color="auto"/>
        <w:left w:val="none" w:sz="0" w:space="0" w:color="auto"/>
        <w:bottom w:val="none" w:sz="0" w:space="0" w:color="auto"/>
        <w:right w:val="none" w:sz="0" w:space="0" w:color="auto"/>
      </w:divBdr>
    </w:div>
    <w:div w:id="420107492">
      <w:bodyDiv w:val="1"/>
      <w:marLeft w:val="0"/>
      <w:marRight w:val="0"/>
      <w:marTop w:val="0"/>
      <w:marBottom w:val="0"/>
      <w:divBdr>
        <w:top w:val="none" w:sz="0" w:space="0" w:color="auto"/>
        <w:left w:val="none" w:sz="0" w:space="0" w:color="auto"/>
        <w:bottom w:val="none" w:sz="0" w:space="0" w:color="auto"/>
        <w:right w:val="none" w:sz="0" w:space="0" w:color="auto"/>
      </w:divBdr>
    </w:div>
    <w:div w:id="445009699">
      <w:bodyDiv w:val="1"/>
      <w:marLeft w:val="0"/>
      <w:marRight w:val="0"/>
      <w:marTop w:val="0"/>
      <w:marBottom w:val="0"/>
      <w:divBdr>
        <w:top w:val="none" w:sz="0" w:space="0" w:color="auto"/>
        <w:left w:val="none" w:sz="0" w:space="0" w:color="auto"/>
        <w:bottom w:val="none" w:sz="0" w:space="0" w:color="auto"/>
        <w:right w:val="none" w:sz="0" w:space="0" w:color="auto"/>
      </w:divBdr>
    </w:div>
    <w:div w:id="467742552">
      <w:bodyDiv w:val="1"/>
      <w:marLeft w:val="0"/>
      <w:marRight w:val="0"/>
      <w:marTop w:val="0"/>
      <w:marBottom w:val="0"/>
      <w:divBdr>
        <w:top w:val="none" w:sz="0" w:space="0" w:color="auto"/>
        <w:left w:val="none" w:sz="0" w:space="0" w:color="auto"/>
        <w:bottom w:val="none" w:sz="0" w:space="0" w:color="auto"/>
        <w:right w:val="none" w:sz="0" w:space="0" w:color="auto"/>
      </w:divBdr>
    </w:div>
    <w:div w:id="481120194">
      <w:bodyDiv w:val="1"/>
      <w:marLeft w:val="0"/>
      <w:marRight w:val="0"/>
      <w:marTop w:val="0"/>
      <w:marBottom w:val="0"/>
      <w:divBdr>
        <w:top w:val="none" w:sz="0" w:space="0" w:color="auto"/>
        <w:left w:val="none" w:sz="0" w:space="0" w:color="auto"/>
        <w:bottom w:val="none" w:sz="0" w:space="0" w:color="auto"/>
        <w:right w:val="none" w:sz="0" w:space="0" w:color="auto"/>
      </w:divBdr>
    </w:div>
    <w:div w:id="502819414">
      <w:bodyDiv w:val="1"/>
      <w:marLeft w:val="0"/>
      <w:marRight w:val="0"/>
      <w:marTop w:val="0"/>
      <w:marBottom w:val="0"/>
      <w:divBdr>
        <w:top w:val="none" w:sz="0" w:space="0" w:color="auto"/>
        <w:left w:val="none" w:sz="0" w:space="0" w:color="auto"/>
        <w:bottom w:val="none" w:sz="0" w:space="0" w:color="auto"/>
        <w:right w:val="none" w:sz="0" w:space="0" w:color="auto"/>
      </w:divBdr>
    </w:div>
    <w:div w:id="563226370">
      <w:bodyDiv w:val="1"/>
      <w:marLeft w:val="0"/>
      <w:marRight w:val="0"/>
      <w:marTop w:val="0"/>
      <w:marBottom w:val="0"/>
      <w:divBdr>
        <w:top w:val="none" w:sz="0" w:space="0" w:color="auto"/>
        <w:left w:val="none" w:sz="0" w:space="0" w:color="auto"/>
        <w:bottom w:val="none" w:sz="0" w:space="0" w:color="auto"/>
        <w:right w:val="none" w:sz="0" w:space="0" w:color="auto"/>
      </w:divBdr>
    </w:div>
    <w:div w:id="580216019">
      <w:bodyDiv w:val="1"/>
      <w:marLeft w:val="0"/>
      <w:marRight w:val="0"/>
      <w:marTop w:val="0"/>
      <w:marBottom w:val="0"/>
      <w:divBdr>
        <w:top w:val="none" w:sz="0" w:space="0" w:color="auto"/>
        <w:left w:val="none" w:sz="0" w:space="0" w:color="auto"/>
        <w:bottom w:val="none" w:sz="0" w:space="0" w:color="auto"/>
        <w:right w:val="none" w:sz="0" w:space="0" w:color="auto"/>
      </w:divBdr>
    </w:div>
    <w:div w:id="587006351">
      <w:bodyDiv w:val="1"/>
      <w:marLeft w:val="0"/>
      <w:marRight w:val="0"/>
      <w:marTop w:val="0"/>
      <w:marBottom w:val="0"/>
      <w:divBdr>
        <w:top w:val="none" w:sz="0" w:space="0" w:color="auto"/>
        <w:left w:val="none" w:sz="0" w:space="0" w:color="auto"/>
        <w:bottom w:val="none" w:sz="0" w:space="0" w:color="auto"/>
        <w:right w:val="none" w:sz="0" w:space="0" w:color="auto"/>
      </w:divBdr>
    </w:div>
    <w:div w:id="599921325">
      <w:bodyDiv w:val="1"/>
      <w:marLeft w:val="0"/>
      <w:marRight w:val="0"/>
      <w:marTop w:val="0"/>
      <w:marBottom w:val="0"/>
      <w:divBdr>
        <w:top w:val="none" w:sz="0" w:space="0" w:color="auto"/>
        <w:left w:val="none" w:sz="0" w:space="0" w:color="auto"/>
        <w:bottom w:val="none" w:sz="0" w:space="0" w:color="auto"/>
        <w:right w:val="none" w:sz="0" w:space="0" w:color="auto"/>
      </w:divBdr>
    </w:div>
    <w:div w:id="684329278">
      <w:bodyDiv w:val="1"/>
      <w:marLeft w:val="0"/>
      <w:marRight w:val="0"/>
      <w:marTop w:val="0"/>
      <w:marBottom w:val="0"/>
      <w:divBdr>
        <w:top w:val="none" w:sz="0" w:space="0" w:color="auto"/>
        <w:left w:val="none" w:sz="0" w:space="0" w:color="auto"/>
        <w:bottom w:val="none" w:sz="0" w:space="0" w:color="auto"/>
        <w:right w:val="none" w:sz="0" w:space="0" w:color="auto"/>
      </w:divBdr>
    </w:div>
    <w:div w:id="693969167">
      <w:bodyDiv w:val="1"/>
      <w:marLeft w:val="0"/>
      <w:marRight w:val="0"/>
      <w:marTop w:val="0"/>
      <w:marBottom w:val="0"/>
      <w:divBdr>
        <w:top w:val="none" w:sz="0" w:space="0" w:color="auto"/>
        <w:left w:val="none" w:sz="0" w:space="0" w:color="auto"/>
        <w:bottom w:val="none" w:sz="0" w:space="0" w:color="auto"/>
        <w:right w:val="none" w:sz="0" w:space="0" w:color="auto"/>
      </w:divBdr>
    </w:div>
    <w:div w:id="702486375">
      <w:bodyDiv w:val="1"/>
      <w:marLeft w:val="0"/>
      <w:marRight w:val="0"/>
      <w:marTop w:val="0"/>
      <w:marBottom w:val="0"/>
      <w:divBdr>
        <w:top w:val="none" w:sz="0" w:space="0" w:color="auto"/>
        <w:left w:val="none" w:sz="0" w:space="0" w:color="auto"/>
        <w:bottom w:val="none" w:sz="0" w:space="0" w:color="auto"/>
        <w:right w:val="none" w:sz="0" w:space="0" w:color="auto"/>
      </w:divBdr>
    </w:div>
    <w:div w:id="765810247">
      <w:bodyDiv w:val="1"/>
      <w:marLeft w:val="0"/>
      <w:marRight w:val="0"/>
      <w:marTop w:val="0"/>
      <w:marBottom w:val="0"/>
      <w:divBdr>
        <w:top w:val="none" w:sz="0" w:space="0" w:color="auto"/>
        <w:left w:val="none" w:sz="0" w:space="0" w:color="auto"/>
        <w:bottom w:val="none" w:sz="0" w:space="0" w:color="auto"/>
        <w:right w:val="none" w:sz="0" w:space="0" w:color="auto"/>
      </w:divBdr>
    </w:div>
    <w:div w:id="784426190">
      <w:bodyDiv w:val="1"/>
      <w:marLeft w:val="0"/>
      <w:marRight w:val="0"/>
      <w:marTop w:val="0"/>
      <w:marBottom w:val="0"/>
      <w:divBdr>
        <w:top w:val="none" w:sz="0" w:space="0" w:color="auto"/>
        <w:left w:val="none" w:sz="0" w:space="0" w:color="auto"/>
        <w:bottom w:val="none" w:sz="0" w:space="0" w:color="auto"/>
        <w:right w:val="none" w:sz="0" w:space="0" w:color="auto"/>
      </w:divBdr>
    </w:div>
    <w:div w:id="793523226">
      <w:bodyDiv w:val="1"/>
      <w:marLeft w:val="0"/>
      <w:marRight w:val="0"/>
      <w:marTop w:val="0"/>
      <w:marBottom w:val="0"/>
      <w:divBdr>
        <w:top w:val="none" w:sz="0" w:space="0" w:color="auto"/>
        <w:left w:val="none" w:sz="0" w:space="0" w:color="auto"/>
        <w:bottom w:val="none" w:sz="0" w:space="0" w:color="auto"/>
        <w:right w:val="none" w:sz="0" w:space="0" w:color="auto"/>
      </w:divBdr>
    </w:div>
    <w:div w:id="800999376">
      <w:bodyDiv w:val="1"/>
      <w:marLeft w:val="0"/>
      <w:marRight w:val="0"/>
      <w:marTop w:val="0"/>
      <w:marBottom w:val="0"/>
      <w:divBdr>
        <w:top w:val="none" w:sz="0" w:space="0" w:color="auto"/>
        <w:left w:val="none" w:sz="0" w:space="0" w:color="auto"/>
        <w:bottom w:val="none" w:sz="0" w:space="0" w:color="auto"/>
        <w:right w:val="none" w:sz="0" w:space="0" w:color="auto"/>
      </w:divBdr>
    </w:div>
    <w:div w:id="840042692">
      <w:bodyDiv w:val="1"/>
      <w:marLeft w:val="0"/>
      <w:marRight w:val="0"/>
      <w:marTop w:val="0"/>
      <w:marBottom w:val="0"/>
      <w:divBdr>
        <w:top w:val="none" w:sz="0" w:space="0" w:color="auto"/>
        <w:left w:val="none" w:sz="0" w:space="0" w:color="auto"/>
        <w:bottom w:val="none" w:sz="0" w:space="0" w:color="auto"/>
        <w:right w:val="none" w:sz="0" w:space="0" w:color="auto"/>
      </w:divBdr>
    </w:div>
    <w:div w:id="906496697">
      <w:bodyDiv w:val="1"/>
      <w:marLeft w:val="0"/>
      <w:marRight w:val="0"/>
      <w:marTop w:val="0"/>
      <w:marBottom w:val="0"/>
      <w:divBdr>
        <w:top w:val="none" w:sz="0" w:space="0" w:color="auto"/>
        <w:left w:val="none" w:sz="0" w:space="0" w:color="auto"/>
        <w:bottom w:val="none" w:sz="0" w:space="0" w:color="auto"/>
        <w:right w:val="none" w:sz="0" w:space="0" w:color="auto"/>
      </w:divBdr>
    </w:div>
    <w:div w:id="920215891">
      <w:bodyDiv w:val="1"/>
      <w:marLeft w:val="0"/>
      <w:marRight w:val="0"/>
      <w:marTop w:val="0"/>
      <w:marBottom w:val="0"/>
      <w:divBdr>
        <w:top w:val="none" w:sz="0" w:space="0" w:color="auto"/>
        <w:left w:val="none" w:sz="0" w:space="0" w:color="auto"/>
        <w:bottom w:val="none" w:sz="0" w:space="0" w:color="auto"/>
        <w:right w:val="none" w:sz="0" w:space="0" w:color="auto"/>
      </w:divBdr>
    </w:div>
    <w:div w:id="929117952">
      <w:bodyDiv w:val="1"/>
      <w:marLeft w:val="0"/>
      <w:marRight w:val="0"/>
      <w:marTop w:val="0"/>
      <w:marBottom w:val="0"/>
      <w:divBdr>
        <w:top w:val="none" w:sz="0" w:space="0" w:color="auto"/>
        <w:left w:val="none" w:sz="0" w:space="0" w:color="auto"/>
        <w:bottom w:val="none" w:sz="0" w:space="0" w:color="auto"/>
        <w:right w:val="none" w:sz="0" w:space="0" w:color="auto"/>
      </w:divBdr>
    </w:div>
    <w:div w:id="930509662">
      <w:bodyDiv w:val="1"/>
      <w:marLeft w:val="0"/>
      <w:marRight w:val="0"/>
      <w:marTop w:val="0"/>
      <w:marBottom w:val="0"/>
      <w:divBdr>
        <w:top w:val="none" w:sz="0" w:space="0" w:color="auto"/>
        <w:left w:val="none" w:sz="0" w:space="0" w:color="auto"/>
        <w:bottom w:val="none" w:sz="0" w:space="0" w:color="auto"/>
        <w:right w:val="none" w:sz="0" w:space="0" w:color="auto"/>
      </w:divBdr>
    </w:div>
    <w:div w:id="965620093">
      <w:bodyDiv w:val="1"/>
      <w:marLeft w:val="0"/>
      <w:marRight w:val="0"/>
      <w:marTop w:val="0"/>
      <w:marBottom w:val="0"/>
      <w:divBdr>
        <w:top w:val="none" w:sz="0" w:space="0" w:color="auto"/>
        <w:left w:val="none" w:sz="0" w:space="0" w:color="auto"/>
        <w:bottom w:val="none" w:sz="0" w:space="0" w:color="auto"/>
        <w:right w:val="none" w:sz="0" w:space="0" w:color="auto"/>
      </w:divBdr>
    </w:div>
    <w:div w:id="996495348">
      <w:bodyDiv w:val="1"/>
      <w:marLeft w:val="0"/>
      <w:marRight w:val="0"/>
      <w:marTop w:val="0"/>
      <w:marBottom w:val="0"/>
      <w:divBdr>
        <w:top w:val="none" w:sz="0" w:space="0" w:color="auto"/>
        <w:left w:val="none" w:sz="0" w:space="0" w:color="auto"/>
        <w:bottom w:val="none" w:sz="0" w:space="0" w:color="auto"/>
        <w:right w:val="none" w:sz="0" w:space="0" w:color="auto"/>
      </w:divBdr>
    </w:div>
    <w:div w:id="1002927834">
      <w:bodyDiv w:val="1"/>
      <w:marLeft w:val="0"/>
      <w:marRight w:val="0"/>
      <w:marTop w:val="0"/>
      <w:marBottom w:val="0"/>
      <w:divBdr>
        <w:top w:val="none" w:sz="0" w:space="0" w:color="auto"/>
        <w:left w:val="none" w:sz="0" w:space="0" w:color="auto"/>
        <w:bottom w:val="none" w:sz="0" w:space="0" w:color="auto"/>
        <w:right w:val="none" w:sz="0" w:space="0" w:color="auto"/>
      </w:divBdr>
    </w:div>
    <w:div w:id="1030568977">
      <w:bodyDiv w:val="1"/>
      <w:marLeft w:val="0"/>
      <w:marRight w:val="0"/>
      <w:marTop w:val="0"/>
      <w:marBottom w:val="0"/>
      <w:divBdr>
        <w:top w:val="none" w:sz="0" w:space="0" w:color="auto"/>
        <w:left w:val="none" w:sz="0" w:space="0" w:color="auto"/>
        <w:bottom w:val="none" w:sz="0" w:space="0" w:color="auto"/>
        <w:right w:val="none" w:sz="0" w:space="0" w:color="auto"/>
      </w:divBdr>
    </w:div>
    <w:div w:id="1120804310">
      <w:bodyDiv w:val="1"/>
      <w:marLeft w:val="0"/>
      <w:marRight w:val="0"/>
      <w:marTop w:val="0"/>
      <w:marBottom w:val="0"/>
      <w:divBdr>
        <w:top w:val="none" w:sz="0" w:space="0" w:color="auto"/>
        <w:left w:val="none" w:sz="0" w:space="0" w:color="auto"/>
        <w:bottom w:val="none" w:sz="0" w:space="0" w:color="auto"/>
        <w:right w:val="none" w:sz="0" w:space="0" w:color="auto"/>
      </w:divBdr>
    </w:div>
    <w:div w:id="1153645410">
      <w:bodyDiv w:val="1"/>
      <w:marLeft w:val="0"/>
      <w:marRight w:val="0"/>
      <w:marTop w:val="0"/>
      <w:marBottom w:val="0"/>
      <w:divBdr>
        <w:top w:val="none" w:sz="0" w:space="0" w:color="auto"/>
        <w:left w:val="none" w:sz="0" w:space="0" w:color="auto"/>
        <w:bottom w:val="none" w:sz="0" w:space="0" w:color="auto"/>
        <w:right w:val="none" w:sz="0" w:space="0" w:color="auto"/>
      </w:divBdr>
    </w:div>
    <w:div w:id="1194153699">
      <w:bodyDiv w:val="1"/>
      <w:marLeft w:val="0"/>
      <w:marRight w:val="0"/>
      <w:marTop w:val="0"/>
      <w:marBottom w:val="0"/>
      <w:divBdr>
        <w:top w:val="none" w:sz="0" w:space="0" w:color="auto"/>
        <w:left w:val="none" w:sz="0" w:space="0" w:color="auto"/>
        <w:bottom w:val="none" w:sz="0" w:space="0" w:color="auto"/>
        <w:right w:val="none" w:sz="0" w:space="0" w:color="auto"/>
      </w:divBdr>
    </w:div>
    <w:div w:id="1217738370">
      <w:bodyDiv w:val="1"/>
      <w:marLeft w:val="0"/>
      <w:marRight w:val="0"/>
      <w:marTop w:val="0"/>
      <w:marBottom w:val="0"/>
      <w:divBdr>
        <w:top w:val="none" w:sz="0" w:space="0" w:color="auto"/>
        <w:left w:val="none" w:sz="0" w:space="0" w:color="auto"/>
        <w:bottom w:val="none" w:sz="0" w:space="0" w:color="auto"/>
        <w:right w:val="none" w:sz="0" w:space="0" w:color="auto"/>
      </w:divBdr>
    </w:div>
    <w:div w:id="1256402862">
      <w:bodyDiv w:val="1"/>
      <w:marLeft w:val="0"/>
      <w:marRight w:val="0"/>
      <w:marTop w:val="0"/>
      <w:marBottom w:val="0"/>
      <w:divBdr>
        <w:top w:val="none" w:sz="0" w:space="0" w:color="auto"/>
        <w:left w:val="none" w:sz="0" w:space="0" w:color="auto"/>
        <w:bottom w:val="none" w:sz="0" w:space="0" w:color="auto"/>
        <w:right w:val="none" w:sz="0" w:space="0" w:color="auto"/>
      </w:divBdr>
      <w:divsChild>
        <w:div w:id="1676692634">
          <w:marLeft w:val="-720"/>
          <w:marRight w:val="0"/>
          <w:marTop w:val="0"/>
          <w:marBottom w:val="0"/>
          <w:divBdr>
            <w:top w:val="none" w:sz="0" w:space="0" w:color="auto"/>
            <w:left w:val="none" w:sz="0" w:space="0" w:color="auto"/>
            <w:bottom w:val="none" w:sz="0" w:space="0" w:color="auto"/>
            <w:right w:val="none" w:sz="0" w:space="0" w:color="auto"/>
          </w:divBdr>
        </w:div>
      </w:divsChild>
    </w:div>
    <w:div w:id="1291285385">
      <w:bodyDiv w:val="1"/>
      <w:marLeft w:val="0"/>
      <w:marRight w:val="0"/>
      <w:marTop w:val="0"/>
      <w:marBottom w:val="0"/>
      <w:divBdr>
        <w:top w:val="none" w:sz="0" w:space="0" w:color="auto"/>
        <w:left w:val="none" w:sz="0" w:space="0" w:color="auto"/>
        <w:bottom w:val="none" w:sz="0" w:space="0" w:color="auto"/>
        <w:right w:val="none" w:sz="0" w:space="0" w:color="auto"/>
      </w:divBdr>
      <w:divsChild>
        <w:div w:id="245267989">
          <w:marLeft w:val="0"/>
          <w:marRight w:val="0"/>
          <w:marTop w:val="0"/>
          <w:marBottom w:val="0"/>
          <w:divBdr>
            <w:top w:val="none" w:sz="0" w:space="0" w:color="auto"/>
            <w:left w:val="none" w:sz="0" w:space="0" w:color="auto"/>
            <w:bottom w:val="none" w:sz="0" w:space="0" w:color="auto"/>
            <w:right w:val="none" w:sz="0" w:space="0" w:color="auto"/>
          </w:divBdr>
        </w:div>
        <w:div w:id="421151367">
          <w:marLeft w:val="0"/>
          <w:marRight w:val="0"/>
          <w:marTop w:val="0"/>
          <w:marBottom w:val="0"/>
          <w:divBdr>
            <w:top w:val="none" w:sz="0" w:space="0" w:color="auto"/>
            <w:left w:val="none" w:sz="0" w:space="0" w:color="auto"/>
            <w:bottom w:val="none" w:sz="0" w:space="0" w:color="auto"/>
            <w:right w:val="none" w:sz="0" w:space="0" w:color="auto"/>
          </w:divBdr>
        </w:div>
      </w:divsChild>
    </w:div>
    <w:div w:id="1376005271">
      <w:bodyDiv w:val="1"/>
      <w:marLeft w:val="0"/>
      <w:marRight w:val="0"/>
      <w:marTop w:val="0"/>
      <w:marBottom w:val="0"/>
      <w:divBdr>
        <w:top w:val="none" w:sz="0" w:space="0" w:color="auto"/>
        <w:left w:val="none" w:sz="0" w:space="0" w:color="auto"/>
        <w:bottom w:val="none" w:sz="0" w:space="0" w:color="auto"/>
        <w:right w:val="none" w:sz="0" w:space="0" w:color="auto"/>
      </w:divBdr>
    </w:div>
    <w:div w:id="1418479746">
      <w:bodyDiv w:val="1"/>
      <w:marLeft w:val="0"/>
      <w:marRight w:val="0"/>
      <w:marTop w:val="0"/>
      <w:marBottom w:val="0"/>
      <w:divBdr>
        <w:top w:val="none" w:sz="0" w:space="0" w:color="auto"/>
        <w:left w:val="none" w:sz="0" w:space="0" w:color="auto"/>
        <w:bottom w:val="none" w:sz="0" w:space="0" w:color="auto"/>
        <w:right w:val="none" w:sz="0" w:space="0" w:color="auto"/>
      </w:divBdr>
    </w:div>
    <w:div w:id="1439105198">
      <w:bodyDiv w:val="1"/>
      <w:marLeft w:val="0"/>
      <w:marRight w:val="0"/>
      <w:marTop w:val="0"/>
      <w:marBottom w:val="0"/>
      <w:divBdr>
        <w:top w:val="none" w:sz="0" w:space="0" w:color="auto"/>
        <w:left w:val="none" w:sz="0" w:space="0" w:color="auto"/>
        <w:bottom w:val="none" w:sz="0" w:space="0" w:color="auto"/>
        <w:right w:val="none" w:sz="0" w:space="0" w:color="auto"/>
      </w:divBdr>
    </w:div>
    <w:div w:id="1501236137">
      <w:bodyDiv w:val="1"/>
      <w:marLeft w:val="0"/>
      <w:marRight w:val="0"/>
      <w:marTop w:val="0"/>
      <w:marBottom w:val="0"/>
      <w:divBdr>
        <w:top w:val="none" w:sz="0" w:space="0" w:color="auto"/>
        <w:left w:val="none" w:sz="0" w:space="0" w:color="auto"/>
        <w:bottom w:val="none" w:sz="0" w:space="0" w:color="auto"/>
        <w:right w:val="none" w:sz="0" w:space="0" w:color="auto"/>
      </w:divBdr>
    </w:div>
    <w:div w:id="1552032564">
      <w:bodyDiv w:val="1"/>
      <w:marLeft w:val="0"/>
      <w:marRight w:val="0"/>
      <w:marTop w:val="0"/>
      <w:marBottom w:val="0"/>
      <w:divBdr>
        <w:top w:val="none" w:sz="0" w:space="0" w:color="auto"/>
        <w:left w:val="none" w:sz="0" w:space="0" w:color="auto"/>
        <w:bottom w:val="none" w:sz="0" w:space="0" w:color="auto"/>
        <w:right w:val="none" w:sz="0" w:space="0" w:color="auto"/>
      </w:divBdr>
    </w:div>
    <w:div w:id="1631979299">
      <w:bodyDiv w:val="1"/>
      <w:marLeft w:val="0"/>
      <w:marRight w:val="0"/>
      <w:marTop w:val="0"/>
      <w:marBottom w:val="0"/>
      <w:divBdr>
        <w:top w:val="none" w:sz="0" w:space="0" w:color="auto"/>
        <w:left w:val="none" w:sz="0" w:space="0" w:color="auto"/>
        <w:bottom w:val="none" w:sz="0" w:space="0" w:color="auto"/>
        <w:right w:val="none" w:sz="0" w:space="0" w:color="auto"/>
      </w:divBdr>
    </w:div>
    <w:div w:id="1694384796">
      <w:bodyDiv w:val="1"/>
      <w:marLeft w:val="0"/>
      <w:marRight w:val="0"/>
      <w:marTop w:val="0"/>
      <w:marBottom w:val="0"/>
      <w:divBdr>
        <w:top w:val="none" w:sz="0" w:space="0" w:color="auto"/>
        <w:left w:val="none" w:sz="0" w:space="0" w:color="auto"/>
        <w:bottom w:val="none" w:sz="0" w:space="0" w:color="auto"/>
        <w:right w:val="none" w:sz="0" w:space="0" w:color="auto"/>
      </w:divBdr>
    </w:div>
    <w:div w:id="1716079322">
      <w:bodyDiv w:val="1"/>
      <w:marLeft w:val="0"/>
      <w:marRight w:val="0"/>
      <w:marTop w:val="0"/>
      <w:marBottom w:val="0"/>
      <w:divBdr>
        <w:top w:val="none" w:sz="0" w:space="0" w:color="auto"/>
        <w:left w:val="none" w:sz="0" w:space="0" w:color="auto"/>
        <w:bottom w:val="none" w:sz="0" w:space="0" w:color="auto"/>
        <w:right w:val="none" w:sz="0" w:space="0" w:color="auto"/>
      </w:divBdr>
    </w:div>
    <w:div w:id="1746684286">
      <w:bodyDiv w:val="1"/>
      <w:marLeft w:val="0"/>
      <w:marRight w:val="0"/>
      <w:marTop w:val="0"/>
      <w:marBottom w:val="0"/>
      <w:divBdr>
        <w:top w:val="none" w:sz="0" w:space="0" w:color="auto"/>
        <w:left w:val="none" w:sz="0" w:space="0" w:color="auto"/>
        <w:bottom w:val="none" w:sz="0" w:space="0" w:color="auto"/>
        <w:right w:val="none" w:sz="0" w:space="0" w:color="auto"/>
      </w:divBdr>
    </w:div>
    <w:div w:id="1770001795">
      <w:bodyDiv w:val="1"/>
      <w:marLeft w:val="0"/>
      <w:marRight w:val="0"/>
      <w:marTop w:val="0"/>
      <w:marBottom w:val="0"/>
      <w:divBdr>
        <w:top w:val="none" w:sz="0" w:space="0" w:color="auto"/>
        <w:left w:val="none" w:sz="0" w:space="0" w:color="auto"/>
        <w:bottom w:val="none" w:sz="0" w:space="0" w:color="auto"/>
        <w:right w:val="none" w:sz="0" w:space="0" w:color="auto"/>
      </w:divBdr>
    </w:div>
    <w:div w:id="1805657319">
      <w:bodyDiv w:val="1"/>
      <w:marLeft w:val="0"/>
      <w:marRight w:val="0"/>
      <w:marTop w:val="0"/>
      <w:marBottom w:val="0"/>
      <w:divBdr>
        <w:top w:val="none" w:sz="0" w:space="0" w:color="auto"/>
        <w:left w:val="none" w:sz="0" w:space="0" w:color="auto"/>
        <w:bottom w:val="none" w:sz="0" w:space="0" w:color="auto"/>
        <w:right w:val="none" w:sz="0" w:space="0" w:color="auto"/>
      </w:divBdr>
    </w:div>
    <w:div w:id="1951860595">
      <w:bodyDiv w:val="1"/>
      <w:marLeft w:val="0"/>
      <w:marRight w:val="0"/>
      <w:marTop w:val="0"/>
      <w:marBottom w:val="0"/>
      <w:divBdr>
        <w:top w:val="none" w:sz="0" w:space="0" w:color="auto"/>
        <w:left w:val="none" w:sz="0" w:space="0" w:color="auto"/>
        <w:bottom w:val="none" w:sz="0" w:space="0" w:color="auto"/>
        <w:right w:val="none" w:sz="0" w:space="0" w:color="auto"/>
      </w:divBdr>
    </w:div>
    <w:div w:id="1999187095">
      <w:bodyDiv w:val="1"/>
      <w:marLeft w:val="0"/>
      <w:marRight w:val="0"/>
      <w:marTop w:val="0"/>
      <w:marBottom w:val="0"/>
      <w:divBdr>
        <w:top w:val="none" w:sz="0" w:space="0" w:color="auto"/>
        <w:left w:val="none" w:sz="0" w:space="0" w:color="auto"/>
        <w:bottom w:val="none" w:sz="0" w:space="0" w:color="auto"/>
        <w:right w:val="none" w:sz="0" w:space="0" w:color="auto"/>
      </w:divBdr>
    </w:div>
    <w:div w:id="2024552779">
      <w:bodyDiv w:val="1"/>
      <w:marLeft w:val="0"/>
      <w:marRight w:val="0"/>
      <w:marTop w:val="0"/>
      <w:marBottom w:val="0"/>
      <w:divBdr>
        <w:top w:val="none" w:sz="0" w:space="0" w:color="auto"/>
        <w:left w:val="none" w:sz="0" w:space="0" w:color="auto"/>
        <w:bottom w:val="none" w:sz="0" w:space="0" w:color="auto"/>
        <w:right w:val="none" w:sz="0" w:space="0" w:color="auto"/>
      </w:divBdr>
    </w:div>
    <w:div w:id="2036878064">
      <w:bodyDiv w:val="1"/>
      <w:marLeft w:val="0"/>
      <w:marRight w:val="0"/>
      <w:marTop w:val="0"/>
      <w:marBottom w:val="0"/>
      <w:divBdr>
        <w:top w:val="none" w:sz="0" w:space="0" w:color="auto"/>
        <w:left w:val="none" w:sz="0" w:space="0" w:color="auto"/>
        <w:bottom w:val="none" w:sz="0" w:space="0" w:color="auto"/>
        <w:right w:val="none" w:sz="0" w:space="0" w:color="auto"/>
      </w:divBdr>
    </w:div>
    <w:div w:id="2041011649">
      <w:bodyDiv w:val="1"/>
      <w:marLeft w:val="0"/>
      <w:marRight w:val="0"/>
      <w:marTop w:val="0"/>
      <w:marBottom w:val="0"/>
      <w:divBdr>
        <w:top w:val="none" w:sz="0" w:space="0" w:color="auto"/>
        <w:left w:val="none" w:sz="0" w:space="0" w:color="auto"/>
        <w:bottom w:val="none" w:sz="0" w:space="0" w:color="auto"/>
        <w:right w:val="none" w:sz="0" w:space="0" w:color="auto"/>
      </w:divBdr>
      <w:divsChild>
        <w:div w:id="1548377190">
          <w:marLeft w:val="0"/>
          <w:marRight w:val="0"/>
          <w:marTop w:val="0"/>
          <w:marBottom w:val="0"/>
          <w:divBdr>
            <w:top w:val="none" w:sz="0" w:space="0" w:color="auto"/>
            <w:left w:val="none" w:sz="0" w:space="0" w:color="auto"/>
            <w:bottom w:val="none" w:sz="0" w:space="0" w:color="auto"/>
            <w:right w:val="none" w:sz="0" w:space="0" w:color="auto"/>
          </w:divBdr>
          <w:divsChild>
            <w:div w:id="144902031">
              <w:marLeft w:val="0"/>
              <w:marRight w:val="0"/>
              <w:marTop w:val="0"/>
              <w:marBottom w:val="0"/>
              <w:divBdr>
                <w:top w:val="none" w:sz="0" w:space="0" w:color="auto"/>
                <w:left w:val="none" w:sz="0" w:space="0" w:color="auto"/>
                <w:bottom w:val="none" w:sz="0" w:space="0" w:color="auto"/>
                <w:right w:val="none" w:sz="0" w:space="0" w:color="auto"/>
              </w:divBdr>
            </w:div>
            <w:div w:id="117531379">
              <w:marLeft w:val="0"/>
              <w:marRight w:val="0"/>
              <w:marTop w:val="0"/>
              <w:marBottom w:val="0"/>
              <w:divBdr>
                <w:top w:val="none" w:sz="0" w:space="0" w:color="auto"/>
                <w:left w:val="none" w:sz="0" w:space="0" w:color="auto"/>
                <w:bottom w:val="none" w:sz="0" w:space="0" w:color="auto"/>
                <w:right w:val="none" w:sz="0" w:space="0" w:color="auto"/>
              </w:divBdr>
            </w:div>
            <w:div w:id="596669929">
              <w:marLeft w:val="0"/>
              <w:marRight w:val="0"/>
              <w:marTop w:val="0"/>
              <w:marBottom w:val="0"/>
              <w:divBdr>
                <w:top w:val="none" w:sz="0" w:space="0" w:color="auto"/>
                <w:left w:val="none" w:sz="0" w:space="0" w:color="auto"/>
                <w:bottom w:val="none" w:sz="0" w:space="0" w:color="auto"/>
                <w:right w:val="none" w:sz="0" w:space="0" w:color="auto"/>
              </w:divBdr>
            </w:div>
            <w:div w:id="633217542">
              <w:marLeft w:val="0"/>
              <w:marRight w:val="0"/>
              <w:marTop w:val="0"/>
              <w:marBottom w:val="0"/>
              <w:divBdr>
                <w:top w:val="none" w:sz="0" w:space="0" w:color="auto"/>
                <w:left w:val="none" w:sz="0" w:space="0" w:color="auto"/>
                <w:bottom w:val="none" w:sz="0" w:space="0" w:color="auto"/>
                <w:right w:val="none" w:sz="0" w:space="0" w:color="auto"/>
              </w:divBdr>
            </w:div>
            <w:div w:id="1353726565">
              <w:marLeft w:val="0"/>
              <w:marRight w:val="0"/>
              <w:marTop w:val="0"/>
              <w:marBottom w:val="0"/>
              <w:divBdr>
                <w:top w:val="none" w:sz="0" w:space="0" w:color="auto"/>
                <w:left w:val="none" w:sz="0" w:space="0" w:color="auto"/>
                <w:bottom w:val="none" w:sz="0" w:space="0" w:color="auto"/>
                <w:right w:val="none" w:sz="0" w:space="0" w:color="auto"/>
              </w:divBdr>
            </w:div>
            <w:div w:id="13805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4142">
      <w:bodyDiv w:val="1"/>
      <w:marLeft w:val="0"/>
      <w:marRight w:val="0"/>
      <w:marTop w:val="0"/>
      <w:marBottom w:val="0"/>
      <w:divBdr>
        <w:top w:val="none" w:sz="0" w:space="0" w:color="auto"/>
        <w:left w:val="none" w:sz="0" w:space="0" w:color="auto"/>
        <w:bottom w:val="none" w:sz="0" w:space="0" w:color="auto"/>
        <w:right w:val="none" w:sz="0" w:space="0" w:color="auto"/>
      </w:divBdr>
    </w:div>
    <w:div w:id="2089300900">
      <w:bodyDiv w:val="1"/>
      <w:marLeft w:val="0"/>
      <w:marRight w:val="0"/>
      <w:marTop w:val="0"/>
      <w:marBottom w:val="0"/>
      <w:divBdr>
        <w:top w:val="none" w:sz="0" w:space="0" w:color="auto"/>
        <w:left w:val="none" w:sz="0" w:space="0" w:color="auto"/>
        <w:bottom w:val="none" w:sz="0" w:space="0" w:color="auto"/>
        <w:right w:val="none" w:sz="0" w:space="0" w:color="auto"/>
      </w:divBdr>
    </w:div>
    <w:div w:id="2100053341">
      <w:bodyDiv w:val="1"/>
      <w:marLeft w:val="0"/>
      <w:marRight w:val="0"/>
      <w:marTop w:val="0"/>
      <w:marBottom w:val="0"/>
      <w:divBdr>
        <w:top w:val="none" w:sz="0" w:space="0" w:color="auto"/>
        <w:left w:val="none" w:sz="0" w:space="0" w:color="auto"/>
        <w:bottom w:val="none" w:sz="0" w:space="0" w:color="auto"/>
        <w:right w:val="none" w:sz="0" w:space="0" w:color="auto"/>
      </w:divBdr>
    </w:div>
    <w:div w:id="2114545555">
      <w:bodyDiv w:val="1"/>
      <w:marLeft w:val="0"/>
      <w:marRight w:val="0"/>
      <w:marTop w:val="0"/>
      <w:marBottom w:val="0"/>
      <w:divBdr>
        <w:top w:val="none" w:sz="0" w:space="0" w:color="auto"/>
        <w:left w:val="none" w:sz="0" w:space="0" w:color="auto"/>
        <w:bottom w:val="none" w:sz="0" w:space="0" w:color="auto"/>
        <w:right w:val="none" w:sz="0" w:space="0" w:color="auto"/>
      </w:divBdr>
    </w:div>
    <w:div w:id="21401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2774-614X%20" TargetMode="External"/><Relationship Id="rId13" Type="http://schemas.openxmlformats.org/officeDocument/2006/relationships/hyperlink" Target="https://doi.org/10.37251/jetlc.v2i1.969" TargetMode="External"/><Relationship Id="rId18" Type="http://schemas.openxmlformats.org/officeDocument/2006/relationships/hyperlink" Target="https://doi.org/10.4171/ICM2022/14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37251/sjpe.v3i4.916" TargetMode="External"/><Relationship Id="rId7" Type="http://schemas.openxmlformats.org/officeDocument/2006/relationships/endnotes" Target="endnotes.xml"/><Relationship Id="rId12" Type="http://schemas.openxmlformats.org/officeDocument/2006/relationships/hyperlink" Target="https://doi.org/10.22437/jiituj.v8i1.32116" TargetMode="External"/><Relationship Id="rId17" Type="http://schemas.openxmlformats.org/officeDocument/2006/relationships/hyperlink" Target="https://doi.org/10.1207/s15326985ep4102_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37251/jetlc.v2i1.976" TargetMode="External"/><Relationship Id="rId20" Type="http://schemas.openxmlformats.org/officeDocument/2006/relationships/hyperlink" Target="https://doi.org/10.22437/jiituj.v8i1.3202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5040/9781350057142.ch-00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doi.org/10.37251/sjpe.v5i3.1025"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doi.org/10.3926/jotse.2680" TargetMode="External"/><Relationship Id="rId22" Type="http://schemas.openxmlformats.org/officeDocument/2006/relationships/hyperlink" Target="https://doi.org/10.1007/978-3-030-86909-0_5"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2FA3-C0D6-4554-BEF9-64E3F5B6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3955</TotalTime>
  <Pages>14</Pages>
  <Words>8019</Words>
  <Characters>45713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Template Jurnal Ilmiah Ilmu Terapan Universitas Jambi</vt:lpstr>
    </vt:vector>
  </TitlesOfParts>
  <Company/>
  <LinksUpToDate>false</LinksUpToDate>
  <CharactersWithSpaces>53625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Ilmiah Ilmu Terapan Universitas Jambi</dc:title>
  <dc:subject/>
  <dc:creator>JIITUJ</dc:creator>
  <cp:keywords/>
  <dc:description/>
  <cp:lastModifiedBy>ACER ASPIRE</cp:lastModifiedBy>
  <cp:revision>147</cp:revision>
  <cp:lastPrinted>2019-07-12T01:40:00Z</cp:lastPrinted>
  <dcterms:created xsi:type="dcterms:W3CDTF">2021-09-03T06:52:00Z</dcterms:created>
  <dcterms:modified xsi:type="dcterms:W3CDTF">2024-10-17T08:39:00Z</dcterms:modified>
</cp:coreProperties>
</file>